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：一次性使用压力监测射频消融导管等一批耗材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09003</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bookmarkStart w:id="34" w:name="_GoBack"/>
      <w:bookmarkEnd w:id="34"/>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666"/>
        <w:gridCol w:w="1350"/>
        <w:gridCol w:w="1605"/>
        <w:gridCol w:w="1500"/>
        <w:gridCol w:w="1650"/>
        <w:gridCol w:w="855"/>
        <w:gridCol w:w="115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0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5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15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其他要求</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心血管内科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一次性使用压力监测射频消融导管</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型号D139401IL、D139402IL、D139403IL</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用于心脏电生理标测（刺激和记录）</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导管由连接器、导管管身、手柄、鲁尔接头、头端电极、环电极和微电极组成。</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31800元/根</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电生理导航系统 Carto 3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25G+联合功能玻切头-20000CPM/0.9mm，普通照明光纤</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25G，联合套包</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用于玻璃体切除联合白内障手术</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积液盒、照明光纤、25G玻切头、穿刺系统套包（3支），GFI管路、带自动灌注阀的灌注管路、灌注/抽吸管路、三通接头、20cc注射器</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5800元/套</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玻切头若有切割卡顿问题，无条件回收更换。</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ALCON玻切超乳一体机Constellation Vision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血栓调节蛋白检测试剂盒（磁微粒化学发光法）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10元/人次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组织型纤溶酶原激活剂-抑制剂1复合物检测试剂盒（磁微粒化学发光法）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45元/人次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6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凝血酶-抗凝血酶III复合物检测试剂盒（磁微粒化学发光法）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8元/人次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6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纤溶酶-a2纤溶酶抑制剂复合物检测试剂盒（磁微粒化学发光法）</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2*50人份/盒</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用于血栓四项检验项目检测</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主试剂+质控品+校准品</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1000人次</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45</w:t>
            </w:r>
            <w:r>
              <w:rPr>
                <w:rFonts w:hint="eastAsia" w:ascii="宋体" w:hAnsi="宋体" w:cs="宋体"/>
                <w:i w:val="0"/>
                <w:iCs w:val="0"/>
                <w:color w:val="000000"/>
                <w:kern w:val="0"/>
                <w:sz w:val="21"/>
                <w:szCs w:val="21"/>
                <w:u w:val="none"/>
                <w:lang w:val="en-US" w:eastAsia="zh-CN" w:bidi="ar"/>
              </w:rPr>
              <w:t>元</w:t>
            </w:r>
            <w:r>
              <w:rPr>
                <w:rFonts w:hint="default" w:ascii="宋体" w:hAnsi="宋体" w:cs="宋体"/>
                <w:i w:val="0"/>
                <w:iCs w:val="0"/>
                <w:color w:val="000000"/>
                <w:kern w:val="0"/>
                <w:sz w:val="21"/>
                <w:szCs w:val="21"/>
                <w:u w:val="none"/>
                <w:lang w:val="en-US" w:eastAsia="zh-CN" w:bidi="ar"/>
              </w:rPr>
              <w:t>/人次</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报价已包含</w:t>
            </w:r>
            <w:r>
              <w:rPr>
                <w:rFonts w:hint="default" w:ascii="宋体" w:hAnsi="宋体" w:cs="宋体"/>
                <w:i w:val="0"/>
                <w:iCs w:val="0"/>
                <w:color w:val="000000"/>
                <w:kern w:val="0"/>
                <w:sz w:val="21"/>
                <w:szCs w:val="21"/>
                <w:u w:val="none"/>
                <w:lang w:val="en-US" w:eastAsia="zh-CN" w:bidi="ar"/>
              </w:rPr>
              <w:t>第三方质控品</w:t>
            </w:r>
            <w:r>
              <w:rPr>
                <w:rFonts w:hint="eastAsia" w:ascii="宋体" w:hAnsi="宋体" w:cs="宋体"/>
                <w:i w:val="0"/>
                <w:iCs w:val="0"/>
                <w:color w:val="000000"/>
                <w:kern w:val="0"/>
                <w:sz w:val="21"/>
                <w:szCs w:val="21"/>
                <w:u w:val="none"/>
                <w:lang w:val="en-US" w:eastAsia="zh-CN" w:bidi="ar"/>
              </w:rPr>
              <w:t>、</w:t>
            </w:r>
            <w:r>
              <w:rPr>
                <w:rFonts w:hint="default" w:ascii="宋体" w:hAnsi="宋体" w:cs="宋体"/>
                <w:i w:val="0"/>
                <w:iCs w:val="0"/>
                <w:color w:val="000000"/>
                <w:kern w:val="0"/>
                <w:sz w:val="21"/>
                <w:szCs w:val="21"/>
                <w:u w:val="none"/>
                <w:lang w:val="en-US" w:eastAsia="zh-CN" w:bidi="ar"/>
              </w:rPr>
              <w:t>检验检测中涉及到所有耗材</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全自动化学发光免疫分析仪中元汇吉EXI2400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儿科</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一次性使用肺功能仪过滤嘴</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聚丙烯</w:t>
            </w:r>
          </w:p>
        </w:tc>
        <w:tc>
          <w:tcPr>
            <w:tcW w:w="150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用于肺功能检查</w:t>
            </w:r>
          </w:p>
        </w:tc>
        <w:tc>
          <w:tcPr>
            <w:tcW w:w="16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600个</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6元</w:t>
            </w:r>
            <w:r>
              <w:rPr>
                <w:rFonts w:hint="eastAsia" w:ascii="宋体" w:hAnsi="宋体" w:cs="宋体"/>
                <w:i w:val="0"/>
                <w:iCs w:val="0"/>
                <w:color w:val="000000"/>
                <w:kern w:val="0"/>
                <w:sz w:val="21"/>
                <w:szCs w:val="21"/>
                <w:u w:val="none"/>
                <w:lang w:val="en-US" w:eastAsia="zh-CN" w:bidi="ar"/>
              </w:rPr>
              <w:t>/个</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1"/>
                <w:szCs w:val="21"/>
                <w:u w:val="none"/>
                <w:lang w:val="en-US" w:eastAsia="zh-CN" w:bidi="ar"/>
              </w:rPr>
              <w:t>悦琦PFT-720肺功能仪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重症医学科</w:t>
            </w:r>
          </w:p>
        </w:tc>
        <w:tc>
          <w:tcPr>
            <w:tcW w:w="135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一次性使用全包喉镜片</w:t>
            </w:r>
          </w:p>
        </w:tc>
        <w:tc>
          <w:tcPr>
            <w:tcW w:w="160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PC材质；总长度140±5;可插入长度108±5;镜长度18±1;摄像头处喉镜片宽度21.0±1.5;摄像头处厚度12.5±1.5</w:t>
            </w:r>
          </w:p>
        </w:tc>
        <w:tc>
          <w:tcPr>
            <w:tcW w:w="1500"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用于困难气道气管插管</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由母扣、手柄、气管插管通道、镜片插入管通道，压舌片组成</w:t>
            </w:r>
          </w:p>
        </w:tc>
        <w:tc>
          <w:tcPr>
            <w:tcW w:w="85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200片</w:t>
            </w:r>
          </w:p>
        </w:tc>
        <w:tc>
          <w:tcPr>
            <w:tcW w:w="115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73元/片</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优亿可视喉镜UED-A3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666"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呼吸科</w:t>
            </w:r>
          </w:p>
        </w:tc>
        <w:tc>
          <w:tcPr>
            <w:tcW w:w="13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both"/>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温度敏感型液体栓塞剂</w:t>
            </w:r>
          </w:p>
        </w:tc>
        <w:tc>
          <w:tcPr>
            <w:tcW w:w="16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5ml/盒</w:t>
            </w:r>
          </w:p>
        </w:tc>
        <w:tc>
          <w:tcPr>
            <w:tcW w:w="15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用于栓塞支气管动脉+肺癌载药化疗</w:t>
            </w:r>
          </w:p>
        </w:tc>
        <w:tc>
          <w:tcPr>
            <w:tcW w:w="16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聚异丙基丙烯酰胺共聚物</w:t>
            </w:r>
          </w:p>
        </w:tc>
        <w:tc>
          <w:tcPr>
            <w:tcW w:w="85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10盒</w:t>
            </w:r>
          </w:p>
        </w:tc>
        <w:tc>
          <w:tcPr>
            <w:tcW w:w="115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6657.9元/盒</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06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允许供应商</w:t>
      </w:r>
      <w:r>
        <w:rPr>
          <w:rFonts w:hint="eastAsia" w:ascii="方正仿宋_GBK" w:hAnsi="方正仿宋_GBK" w:eastAsia="方正仿宋_GBK" w:cs="方正仿宋_GBK"/>
          <w:kern w:val="0"/>
          <w:sz w:val="30"/>
          <w:szCs w:val="30"/>
          <w:highlight w:val="yellow"/>
          <w:lang w:val="en-US" w:eastAsia="zh-CN"/>
        </w:rPr>
        <w:t>部分响应本项目</w:t>
      </w:r>
      <w:r>
        <w:rPr>
          <w:rFonts w:hint="eastAsia" w:ascii="方正仿宋_GBK" w:hAnsi="方正仿宋_GBK" w:eastAsia="方正仿宋_GBK" w:cs="方正仿宋_GBK"/>
          <w:kern w:val="0"/>
          <w:sz w:val="30"/>
          <w:szCs w:val="30"/>
          <w:highlight w:val="none"/>
          <w:lang w:val="en-US" w:eastAsia="zh-CN"/>
        </w:rPr>
        <w:t>产品，不接受供应商新增其他品规产品，不接受联合体投标，否则视为无效投标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237057789"/>
      <w:bookmarkStart w:id="2" w:name="_Toc128229278"/>
      <w:bookmarkStart w:id="3" w:name="_Toc128229721"/>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28229302"/>
      <w:bookmarkStart w:id="7" w:name="_Toc156730450"/>
      <w:bookmarkStart w:id="8" w:name="_Toc166139912"/>
      <w:bookmarkStart w:id="9" w:name="_Toc156196470"/>
      <w:bookmarkStart w:id="10" w:name="_Toc128229916"/>
      <w:bookmarkStart w:id="11" w:name="_Toc156815770"/>
      <w:bookmarkStart w:id="12" w:name="_Toc166549448"/>
      <w:bookmarkStart w:id="13" w:name="_Toc128229745"/>
      <w:bookmarkStart w:id="14" w:name="_Toc173677397"/>
      <w:bookmarkStart w:id="15" w:name="_Toc17501734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66549449"/>
      <w:bookmarkStart w:id="17" w:name="_Toc128229746"/>
      <w:bookmarkStart w:id="18" w:name="_Toc156730451"/>
      <w:bookmarkStart w:id="19" w:name="_Toc156196560"/>
      <w:bookmarkStart w:id="20" w:name="_Toc173677398"/>
      <w:bookmarkStart w:id="21" w:name="_Toc128229917"/>
      <w:bookmarkStart w:id="22" w:name="_Toc166139913"/>
      <w:bookmarkStart w:id="23" w:name="_Toc175017343"/>
      <w:bookmarkStart w:id="24" w:name="_Toc128229303"/>
      <w:bookmarkStart w:id="25" w:name="_Toc156196471"/>
      <w:bookmarkStart w:id="26" w:name="_Toc1568157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3677399"/>
      <w:bookmarkStart w:id="28" w:name="_Toc128014297"/>
      <w:bookmarkStart w:id="29" w:name="_Toc128229304"/>
      <w:bookmarkStart w:id="30" w:name="_Toc156196472"/>
      <w:bookmarkStart w:id="31" w:name="_Toc175017344"/>
      <w:bookmarkStart w:id="32" w:name="_Toc128229747"/>
      <w:bookmarkStart w:id="33" w:name="_Toc237057793"/>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46E3C"/>
    <w:rsid w:val="1F4E6F21"/>
    <w:rsid w:val="1F9F1AB3"/>
    <w:rsid w:val="206B29E9"/>
    <w:rsid w:val="217A21C5"/>
    <w:rsid w:val="22E50F79"/>
    <w:rsid w:val="247C1983"/>
    <w:rsid w:val="260375AF"/>
    <w:rsid w:val="265D3914"/>
    <w:rsid w:val="26E75571"/>
    <w:rsid w:val="26F848F6"/>
    <w:rsid w:val="27897907"/>
    <w:rsid w:val="2A641BEC"/>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10756</Words>
  <Characters>12150</Characters>
  <Lines>202</Lines>
  <Paragraphs>243</Paragraphs>
  <TotalTime>11</TotalTime>
  <ScaleCrop>false</ScaleCrop>
  <LinksUpToDate>false</LinksUpToDate>
  <CharactersWithSpaces>12725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2025-09-04T02:09:44Z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D422FBD0CD6540BA837EE8899EA604A4_13</vt:lpwstr>
  </property>
  <property fmtid="{D5CDD505-2E9C-101B-9397-08002B2CF9AE}" pid="4" name="KSOTemplateDocerSaveRecord">
    <vt:lpwstr>eyJoZGlkIjoiNzliNmRkY2YyN2FjZDQwMDgzZGM4ZDZkNTA3MTFmNGMiLCJ1c2VySWQiOiIxNjE2MTQ1MTM5In0=</vt:lpwstr>
  </property>
</Properties>
</file>