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sz w:val="50"/>
          <w:szCs w:val="50"/>
        </w:rPr>
      </w:pPr>
    </w:p>
    <w:p>
      <w:pPr>
        <w:pStyle w:val="3"/>
      </w:pPr>
    </w:p>
    <w:p>
      <w:pPr>
        <w:adjustRightInd w:val="0"/>
        <w:snapToGrid w:val="0"/>
        <w:spacing w:line="360" w:lineRule="auto"/>
        <w:jc w:val="center"/>
        <w:rPr>
          <w:rFonts w:hint="eastAsia" w:ascii="宋体" w:hAnsi="宋体"/>
          <w:b/>
          <w:sz w:val="50"/>
          <w:szCs w:val="50"/>
          <w:lang w:eastAsia="zh-CN"/>
        </w:rPr>
      </w:pPr>
      <w:r>
        <w:rPr>
          <w:rFonts w:hint="eastAsia" w:ascii="宋体" w:hAnsi="宋体"/>
          <w:b/>
          <w:sz w:val="50"/>
          <w:szCs w:val="50"/>
          <w:lang w:eastAsia="zh-CN"/>
        </w:rPr>
        <w:t>重庆医科大学附属璧山医院</w:t>
      </w:r>
    </w:p>
    <w:p>
      <w:pPr>
        <w:pStyle w:val="3"/>
        <w:jc w:val="center"/>
        <w:rPr>
          <w:rFonts w:hint="eastAsia" w:ascii="宋体" w:hAnsi="宋体" w:eastAsia="宋体" w:cs="Times New Roman"/>
          <w:b/>
          <w:kern w:val="2"/>
          <w:sz w:val="50"/>
          <w:szCs w:val="50"/>
          <w:lang w:val="en-US" w:eastAsia="zh-CN" w:bidi="ar-SA"/>
        </w:rPr>
      </w:pPr>
      <w:r>
        <w:rPr>
          <w:rFonts w:hint="eastAsia" w:ascii="宋体" w:hAnsi="宋体" w:eastAsia="宋体" w:cs="Times New Roman"/>
          <w:b/>
          <w:kern w:val="2"/>
          <w:sz w:val="50"/>
          <w:szCs w:val="50"/>
          <w:lang w:val="en-US" w:eastAsia="zh-CN" w:bidi="ar-SA"/>
        </w:rPr>
        <w:t>重庆市璧山区人民医院</w:t>
      </w:r>
    </w:p>
    <w:p>
      <w:pPr>
        <w:adjustRightInd w:val="0"/>
        <w:snapToGrid w:val="0"/>
        <w:spacing w:line="360" w:lineRule="auto"/>
        <w:jc w:val="center"/>
        <w:rPr>
          <w:rFonts w:ascii="宋体" w:hAnsi="宋体"/>
          <w:b/>
          <w:sz w:val="50"/>
          <w:szCs w:val="50"/>
        </w:rPr>
      </w:pPr>
      <w:r>
        <w:rPr>
          <w:rFonts w:hint="eastAsia" w:ascii="宋体" w:hAnsi="宋体"/>
          <w:b/>
          <w:sz w:val="50"/>
          <w:szCs w:val="50"/>
        </w:rPr>
        <w:t>院内招</w:t>
      </w:r>
      <w:r>
        <w:rPr>
          <w:rFonts w:hint="eastAsia" w:ascii="宋体" w:hAnsi="宋体"/>
          <w:b/>
          <w:sz w:val="50"/>
          <w:szCs w:val="50"/>
          <w:lang w:val="en-US" w:eastAsia="zh-CN"/>
        </w:rPr>
        <w:t>采遴选</w:t>
      </w:r>
      <w:r>
        <w:rPr>
          <w:rFonts w:hint="eastAsia" w:ascii="宋体" w:hAnsi="宋体"/>
          <w:b/>
          <w:sz w:val="50"/>
          <w:szCs w:val="50"/>
        </w:rPr>
        <w:t>文件</w:t>
      </w:r>
    </w:p>
    <w:p>
      <w:pPr>
        <w:adjustRightInd w:val="0"/>
        <w:snapToGrid w:val="0"/>
        <w:spacing w:line="360" w:lineRule="auto"/>
        <w:rPr>
          <w:rFonts w:ascii="仿宋_GB2312" w:eastAsia="仿宋_GB2312"/>
          <w:sz w:val="24"/>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ind w:left="3196" w:leftChars="760" w:hanging="1600" w:hangingChars="500"/>
        <w:rPr>
          <w:rFonts w:hint="eastAsia" w:ascii="宋体" w:hAnsi="宋体"/>
          <w:sz w:val="32"/>
          <w:szCs w:val="32"/>
          <w:lang w:val="en-US" w:eastAsia="zh-CN"/>
        </w:rPr>
      </w:pPr>
      <w:r>
        <w:rPr>
          <w:rFonts w:hint="eastAsia" w:ascii="宋体" w:hAnsi="宋体"/>
          <w:sz w:val="32"/>
          <w:szCs w:val="32"/>
        </w:rPr>
        <w:t>项目名</w:t>
      </w:r>
      <w:r>
        <w:rPr>
          <w:rFonts w:hint="eastAsia" w:ascii="宋体" w:hAnsi="宋体"/>
          <w:sz w:val="32"/>
          <w:szCs w:val="32"/>
          <w:lang w:eastAsia="zh-CN"/>
        </w:rPr>
        <w:t>称</w:t>
      </w:r>
      <w:r>
        <w:rPr>
          <w:rFonts w:hint="eastAsia" w:ascii="宋体" w:hAnsi="宋体" w:eastAsia="宋体" w:cs="Times New Roman"/>
          <w:sz w:val="32"/>
          <w:szCs w:val="32"/>
          <w:lang w:val="en-US" w:eastAsia="zh-CN"/>
        </w:rPr>
        <w:t>：</w:t>
      </w:r>
      <w:r>
        <w:rPr>
          <w:rFonts w:hint="eastAsia" w:ascii="宋体" w:hAnsi="宋体"/>
          <w:sz w:val="32"/>
          <w:szCs w:val="32"/>
          <w:lang w:val="en-US" w:eastAsia="zh-CN"/>
        </w:rPr>
        <w:t>一次性使用泪道引流管</w:t>
      </w:r>
      <w:r>
        <w:rPr>
          <w:rFonts w:hint="eastAsia" w:ascii="宋体" w:hAnsi="宋体" w:eastAsia="宋体" w:cs="Times New Roman"/>
          <w:sz w:val="32"/>
          <w:szCs w:val="32"/>
          <w:lang w:val="en-US" w:eastAsia="zh-CN"/>
        </w:rPr>
        <w:t>等一批耗材</w:t>
      </w:r>
    </w:p>
    <w:p>
      <w:pPr>
        <w:adjustRightInd w:val="0"/>
        <w:snapToGrid w:val="0"/>
        <w:spacing w:line="360" w:lineRule="auto"/>
        <w:ind w:left="3196" w:leftChars="760" w:hanging="1600" w:hangingChars="500"/>
        <w:rPr>
          <w:rFonts w:hint="default" w:ascii="宋体" w:hAnsi="宋体"/>
          <w:sz w:val="32"/>
          <w:szCs w:val="32"/>
          <w:lang w:val="en-US" w:eastAsia="zh-CN"/>
        </w:rPr>
      </w:pPr>
      <w:r>
        <w:rPr>
          <w:rFonts w:hint="eastAsia" w:ascii="宋体" w:hAnsi="宋体"/>
          <w:sz w:val="32"/>
          <w:szCs w:val="32"/>
          <w:lang w:val="en-US" w:eastAsia="zh-CN"/>
        </w:rPr>
        <w:t>项目</w:t>
      </w:r>
      <w:r>
        <w:rPr>
          <w:rFonts w:hint="eastAsia" w:ascii="宋体" w:hAnsi="宋体"/>
          <w:sz w:val="32"/>
          <w:szCs w:val="32"/>
        </w:rPr>
        <w:t>编号：</w:t>
      </w:r>
      <w:r>
        <w:rPr>
          <w:rFonts w:hint="eastAsia" w:ascii="宋体" w:hAnsi="宋体"/>
          <w:sz w:val="32"/>
          <w:szCs w:val="32"/>
          <w:lang w:val="en-US" w:eastAsia="zh-CN"/>
        </w:rPr>
        <w:t>BSRM</w:t>
      </w:r>
      <w:r>
        <w:rPr>
          <w:rFonts w:hint="eastAsia" w:ascii="宋体" w:hAnsi="宋体"/>
          <w:sz w:val="32"/>
          <w:szCs w:val="32"/>
        </w:rPr>
        <w:t>YY-YNCG</w:t>
      </w:r>
      <w:r>
        <w:rPr>
          <w:rFonts w:hint="eastAsia" w:ascii="宋体" w:hAnsi="宋体"/>
          <w:sz w:val="32"/>
          <w:szCs w:val="32"/>
          <w:lang w:val="en-US" w:eastAsia="zh-CN"/>
        </w:rPr>
        <w:t>-</w:t>
      </w:r>
      <w:r>
        <w:rPr>
          <w:rFonts w:hint="eastAsia" w:ascii="宋体" w:hAnsi="宋体"/>
          <w:sz w:val="32"/>
          <w:szCs w:val="32"/>
        </w:rPr>
        <w:t>202</w:t>
      </w:r>
      <w:r>
        <w:rPr>
          <w:rFonts w:hint="eastAsia" w:ascii="宋体" w:hAnsi="宋体"/>
          <w:sz w:val="32"/>
          <w:szCs w:val="32"/>
          <w:lang w:val="en-US" w:eastAsia="zh-CN"/>
        </w:rPr>
        <w:t>5</w:t>
      </w:r>
      <w:r>
        <w:rPr>
          <w:rFonts w:hint="eastAsia" w:ascii="宋体" w:hAnsi="宋体"/>
          <w:sz w:val="32"/>
          <w:szCs w:val="32"/>
        </w:rPr>
        <w:t>-</w:t>
      </w:r>
      <w:r>
        <w:rPr>
          <w:rFonts w:hint="eastAsia" w:ascii="宋体" w:hAnsi="宋体"/>
          <w:sz w:val="32"/>
          <w:szCs w:val="32"/>
          <w:lang w:val="en-US" w:eastAsia="zh-CN"/>
        </w:rPr>
        <w:t>08005</w:t>
      </w:r>
    </w:p>
    <w:p>
      <w:pPr>
        <w:adjustRightInd w:val="0"/>
        <w:snapToGrid w:val="0"/>
        <w:spacing w:line="360" w:lineRule="auto"/>
        <w:ind w:left="3196" w:leftChars="760" w:hanging="1600" w:hangingChars="500"/>
        <w:rPr>
          <w:rFonts w:hint="default" w:ascii="宋体" w:hAnsi="宋体" w:eastAsia="宋体"/>
          <w:sz w:val="32"/>
          <w:szCs w:val="32"/>
          <w:lang w:val="en-US" w:eastAsia="zh-CN"/>
        </w:rPr>
      </w:pPr>
      <w:r>
        <w:rPr>
          <w:rFonts w:hint="eastAsia" w:ascii="宋体" w:hAnsi="宋体"/>
          <w:sz w:val="32"/>
          <w:szCs w:val="32"/>
          <w:lang w:val="en-US" w:eastAsia="zh-CN"/>
        </w:rPr>
        <w:t>采购人</w:t>
      </w:r>
      <w:r>
        <w:rPr>
          <w:rFonts w:hint="eastAsia" w:ascii="宋体" w:hAnsi="宋体"/>
          <w:sz w:val="32"/>
          <w:szCs w:val="32"/>
        </w:rPr>
        <w:t>：</w:t>
      </w:r>
      <w:r>
        <w:rPr>
          <w:rFonts w:hint="eastAsia" w:ascii="宋体" w:hAnsi="宋体"/>
          <w:sz w:val="32"/>
          <w:szCs w:val="32"/>
          <w:lang w:eastAsia="zh-CN"/>
        </w:rPr>
        <w:t>重庆</w:t>
      </w:r>
      <w:r>
        <w:rPr>
          <w:rFonts w:hint="eastAsia" w:ascii="宋体" w:hAnsi="宋体"/>
          <w:sz w:val="32"/>
          <w:szCs w:val="32"/>
          <w:lang w:val="en-US" w:eastAsia="zh-CN"/>
        </w:rPr>
        <w:t>市璧山区人民医院</w:t>
      </w: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color w:val="000000"/>
          <w:sz w:val="36"/>
          <w:szCs w:val="36"/>
        </w:rPr>
      </w:pPr>
      <w:r>
        <w:rPr>
          <w:color w:val="000000"/>
          <w:sz w:val="36"/>
          <w:szCs w:val="36"/>
        </w:rPr>
        <w:t>20</w:t>
      </w:r>
      <w:r>
        <w:rPr>
          <w:rFonts w:hint="eastAsia"/>
          <w:color w:val="000000"/>
          <w:sz w:val="36"/>
          <w:szCs w:val="36"/>
        </w:rPr>
        <w:t>2</w:t>
      </w:r>
      <w:r>
        <w:rPr>
          <w:rFonts w:hint="eastAsia"/>
          <w:color w:val="000000"/>
          <w:sz w:val="36"/>
          <w:szCs w:val="36"/>
          <w:lang w:val="en-US" w:eastAsia="zh-CN"/>
        </w:rPr>
        <w:t>5</w:t>
      </w:r>
      <w:r>
        <w:rPr>
          <w:rFonts w:hint="eastAsia"/>
          <w:color w:val="000000"/>
          <w:sz w:val="36"/>
          <w:szCs w:val="36"/>
        </w:rPr>
        <w:t>年</w:t>
      </w:r>
      <w:r>
        <w:rPr>
          <w:rFonts w:hint="eastAsia"/>
          <w:color w:val="000000"/>
          <w:sz w:val="36"/>
          <w:szCs w:val="36"/>
          <w:lang w:val="en-US" w:eastAsia="zh-CN"/>
        </w:rPr>
        <w:t>8</w:t>
      </w:r>
      <w:r>
        <w:rPr>
          <w:rFonts w:hint="eastAsia"/>
          <w:color w:val="000000"/>
          <w:sz w:val="36"/>
          <w:szCs w:val="36"/>
        </w:rPr>
        <w:t>月</w:t>
      </w: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sectPr>
          <w:headerReference r:id="rId3" w:type="default"/>
          <w:footerReference r:id="rId4" w:type="default"/>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hint="default" w:ascii="宋体" w:hAnsi="宋体" w:eastAsia="宋体"/>
          <w:b/>
          <w:sz w:val="32"/>
          <w:szCs w:val="32"/>
          <w:lang w:val="en-US" w:eastAsia="zh-CN"/>
        </w:rPr>
      </w:pPr>
      <w:r>
        <w:rPr>
          <w:rFonts w:hint="eastAsia" w:ascii="宋体" w:hAnsi="宋体"/>
          <w:b/>
          <w:sz w:val="32"/>
          <w:szCs w:val="32"/>
          <w:lang w:eastAsia="zh-CN"/>
        </w:rPr>
        <w:t>重庆</w:t>
      </w:r>
      <w:r>
        <w:rPr>
          <w:rFonts w:hint="eastAsia" w:ascii="宋体" w:hAnsi="宋体"/>
          <w:b/>
          <w:sz w:val="32"/>
          <w:szCs w:val="32"/>
          <w:lang w:val="en-US" w:eastAsia="zh-CN"/>
        </w:rPr>
        <w:t>市璧山区人民医院</w:t>
      </w:r>
    </w:p>
    <w:p>
      <w:pPr>
        <w:adjustRightInd w:val="0"/>
        <w:snapToGrid w:val="0"/>
        <w:spacing w:line="360" w:lineRule="auto"/>
        <w:jc w:val="center"/>
        <w:rPr>
          <w:rFonts w:ascii="宋体" w:hAnsi="宋体"/>
          <w:b/>
          <w:sz w:val="30"/>
          <w:szCs w:val="30"/>
        </w:rPr>
      </w:pPr>
      <w:r>
        <w:rPr>
          <w:rFonts w:hint="eastAsia" w:ascii="宋体" w:hAnsi="宋体"/>
          <w:b/>
          <w:sz w:val="32"/>
          <w:szCs w:val="32"/>
        </w:rPr>
        <w:t>院内采购文件</w:t>
      </w:r>
    </w:p>
    <w:p>
      <w:pPr>
        <w:adjustRightInd w:val="0"/>
        <w:snapToGrid w:val="0"/>
        <w:spacing w:line="360" w:lineRule="auto"/>
        <w:ind w:firstLine="540" w:firstLineChars="225"/>
        <w:rPr>
          <w:rFonts w:hint="eastAsia" w:ascii="仿宋" w:hAnsi="仿宋" w:eastAsia="仿宋"/>
          <w:sz w:val="24"/>
          <w:szCs w:val="24"/>
        </w:rPr>
      </w:pPr>
      <w:r>
        <w:rPr>
          <w:rFonts w:hint="eastAsia" w:ascii="仿宋" w:hAnsi="仿宋" w:eastAsia="仿宋"/>
          <w:sz w:val="24"/>
          <w:szCs w:val="24"/>
          <w:lang w:eastAsia="zh-CN"/>
        </w:rPr>
        <w:t>重庆</w:t>
      </w:r>
      <w:r>
        <w:rPr>
          <w:rFonts w:hint="eastAsia" w:ascii="仿宋" w:hAnsi="仿宋" w:eastAsia="仿宋"/>
          <w:sz w:val="24"/>
          <w:szCs w:val="24"/>
          <w:lang w:val="en-US" w:eastAsia="zh-CN"/>
        </w:rPr>
        <w:t>市璧山区人民医院</w:t>
      </w:r>
      <w:r>
        <w:rPr>
          <w:rFonts w:hint="eastAsia" w:ascii="仿宋" w:hAnsi="仿宋" w:eastAsia="仿宋"/>
          <w:sz w:val="24"/>
          <w:szCs w:val="24"/>
        </w:rPr>
        <w:t>是</w:t>
      </w:r>
      <w:r>
        <w:rPr>
          <w:rFonts w:hint="eastAsia" w:ascii="仿宋" w:hAnsi="仿宋" w:eastAsia="仿宋"/>
          <w:sz w:val="24"/>
          <w:szCs w:val="24"/>
          <w:lang w:val="en-US" w:eastAsia="zh-CN"/>
        </w:rPr>
        <w:t>璧山区</w:t>
      </w:r>
      <w:r>
        <w:rPr>
          <w:rFonts w:hint="eastAsia" w:ascii="仿宋" w:hAnsi="仿宋" w:eastAsia="仿宋"/>
          <w:sz w:val="24"/>
          <w:szCs w:val="24"/>
        </w:rPr>
        <w:t>非营利性综合性医院。为满足医院发展需要，特以</w:t>
      </w:r>
      <w:r>
        <w:rPr>
          <w:rFonts w:hint="eastAsia" w:ascii="仿宋" w:hAnsi="仿宋" w:eastAsia="仿宋"/>
          <w:b w:val="0"/>
          <w:bCs w:val="0"/>
          <w:color w:val="auto"/>
          <w:sz w:val="24"/>
          <w:szCs w:val="24"/>
          <w:u w:val="none"/>
        </w:rPr>
        <w:t>院内招标</w:t>
      </w:r>
      <w:r>
        <w:rPr>
          <w:rFonts w:hint="eastAsia" w:ascii="仿宋" w:hAnsi="仿宋" w:eastAsia="仿宋"/>
          <w:color w:val="000000"/>
          <w:sz w:val="24"/>
          <w:szCs w:val="24"/>
        </w:rPr>
        <w:t>采购方式</w:t>
      </w:r>
      <w:r>
        <w:rPr>
          <w:rFonts w:hint="eastAsia" w:ascii="仿宋" w:hAnsi="仿宋" w:eastAsia="仿宋"/>
          <w:sz w:val="24"/>
          <w:szCs w:val="24"/>
        </w:rPr>
        <w:t>对外采购一批耗材用于</w:t>
      </w:r>
      <w:r>
        <w:rPr>
          <w:rFonts w:hint="eastAsia" w:ascii="仿宋" w:hAnsi="仿宋" w:eastAsia="仿宋" w:cs="仿宋"/>
          <w:kern w:val="0"/>
          <w:sz w:val="24"/>
          <w:szCs w:val="24"/>
        </w:rPr>
        <w:t>我院</w:t>
      </w:r>
      <w:r>
        <w:rPr>
          <w:rFonts w:hint="eastAsia" w:ascii="仿宋" w:hAnsi="仿宋" w:eastAsia="仿宋"/>
          <w:sz w:val="24"/>
          <w:szCs w:val="24"/>
        </w:rPr>
        <w:t>。</w:t>
      </w:r>
    </w:p>
    <w:p>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sz w:val="24"/>
          <w:szCs w:val="24"/>
          <w:u w:val="single"/>
          <w:lang w:val="en-US" w:eastAsia="zh-CN"/>
        </w:rPr>
      </w:pPr>
      <w:r>
        <w:rPr>
          <w:rFonts w:hint="eastAsia" w:ascii="仿宋" w:hAnsi="仿宋" w:eastAsia="仿宋"/>
          <w:sz w:val="24"/>
          <w:szCs w:val="24"/>
          <w:u w:val="single"/>
          <w:lang w:val="en-US" w:eastAsia="zh-CN"/>
        </w:rPr>
        <w:t>本项目投标响应截止日期为</w:t>
      </w:r>
      <w:r>
        <w:rPr>
          <w:rFonts w:hint="eastAsia" w:ascii="仿宋" w:hAnsi="仿宋" w:eastAsia="仿宋"/>
          <w:sz w:val="24"/>
          <w:szCs w:val="24"/>
          <w:highlight w:val="none"/>
          <w:u w:val="single"/>
          <w:lang w:val="en-US" w:eastAsia="zh-CN"/>
        </w:rPr>
        <w:t>采购报名截止日期</w:t>
      </w:r>
      <w:r>
        <w:rPr>
          <w:rFonts w:hint="eastAsia" w:ascii="仿宋" w:hAnsi="仿宋" w:eastAsia="仿宋"/>
          <w:sz w:val="24"/>
          <w:szCs w:val="24"/>
          <w:u w:val="single"/>
          <w:lang w:val="en-US" w:eastAsia="zh-CN"/>
        </w:rPr>
        <w:t>，供应商报名后未在规定时间递交加盖鲜章的纸质投标响应资料的视为放弃投标，将不能退还履约保证金。</w:t>
      </w:r>
    </w:p>
    <w:p>
      <w:pPr>
        <w:numPr>
          <w:ilvl w:val="0"/>
          <w:numId w:val="2"/>
        </w:numPr>
        <w:adjustRightInd w:val="0"/>
        <w:snapToGrid w:val="0"/>
        <w:spacing w:line="360" w:lineRule="auto"/>
        <w:rPr>
          <w:rFonts w:hint="eastAsia" w:ascii="仿宋" w:hAnsi="仿宋" w:eastAsia="仿宋"/>
          <w:b/>
          <w:sz w:val="24"/>
          <w:szCs w:val="24"/>
          <w:lang w:val="en-US" w:eastAsia="zh-CN"/>
        </w:rPr>
      </w:pPr>
      <w:r>
        <w:rPr>
          <w:rFonts w:hint="eastAsia" w:ascii="仿宋" w:hAnsi="仿宋" w:eastAsia="仿宋"/>
          <w:b/>
          <w:sz w:val="24"/>
          <w:szCs w:val="24"/>
          <w:lang w:val="en-US" w:eastAsia="zh-CN"/>
        </w:rPr>
        <w:t>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p>
    <w:tbl>
      <w:tblPr>
        <w:tblStyle w:val="9"/>
        <w:tblpPr w:leftFromText="180" w:rightFromText="180" w:vertAnchor="text" w:horzAnchor="page" w:tblpX="572" w:tblpY="394"/>
        <w:tblOverlap w:val="never"/>
        <w:tblW w:w="10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62"/>
        <w:gridCol w:w="809"/>
        <w:gridCol w:w="1450"/>
        <w:gridCol w:w="2043"/>
        <w:gridCol w:w="2772"/>
        <w:gridCol w:w="1379"/>
        <w:gridCol w:w="850"/>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9" w:hRule="atLeast"/>
        </w:trPr>
        <w:tc>
          <w:tcPr>
            <w:tcW w:w="462"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809" w:type="dxa"/>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使用科室</w:t>
            </w:r>
          </w:p>
        </w:tc>
        <w:tc>
          <w:tcPr>
            <w:tcW w:w="145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204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材质及尺寸</w:t>
            </w:r>
          </w:p>
        </w:tc>
        <w:tc>
          <w:tcPr>
            <w:tcW w:w="2772"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用途范围</w:t>
            </w:r>
          </w:p>
        </w:tc>
        <w:tc>
          <w:tcPr>
            <w:tcW w:w="1379"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组成结构</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年预估用量</w:t>
            </w:r>
          </w:p>
        </w:tc>
        <w:tc>
          <w:tcPr>
            <w:tcW w:w="100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809"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眼科</w:t>
            </w:r>
          </w:p>
        </w:tc>
        <w:tc>
          <w:tcPr>
            <w:tcW w:w="14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一次性使用泪道引流管</w:t>
            </w:r>
          </w:p>
        </w:tc>
        <w:tc>
          <w:tcPr>
            <w:tcW w:w="2043"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引流管由高纯度全进口硅橡胶材质制成，管体内径0.6mm土0.1mm,管体外直径 1.1mm士0.1mm，管体长度 95mm士5mm。泪道探针由不锈钢材料制成，针头是银合金圆形球头。 1套/盒</w:t>
            </w:r>
          </w:p>
        </w:tc>
        <w:tc>
          <w:tcPr>
            <w:tcW w:w="2772"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用于泪小管炎、泪小管断裂、泪小管阻塞、慢性泪囊炎等。</w:t>
            </w:r>
          </w:p>
        </w:tc>
        <w:tc>
          <w:tcPr>
            <w:tcW w:w="1379"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1.管体材料：硅胶管。  </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2.探针：依靠不锈钢的特性，引导管体经上下泪小点进入泪小管，起到牵引的作用，无需鼻腔钩取。</w:t>
            </w:r>
          </w:p>
        </w:tc>
        <w:tc>
          <w:tcPr>
            <w:tcW w:w="850"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50盒</w:t>
            </w:r>
          </w:p>
        </w:tc>
        <w:tc>
          <w:tcPr>
            <w:tcW w:w="1003"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850元/盒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p>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809"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呼吸与危重症医学科</w:t>
            </w:r>
          </w:p>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p>
        </w:tc>
        <w:tc>
          <w:tcPr>
            <w:tcW w:w="14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鼻氧管</w:t>
            </w:r>
          </w:p>
        </w:tc>
        <w:tc>
          <w:tcPr>
            <w:tcW w:w="2043"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医用软聚乙烯塑料；尺寸:M</w:t>
            </w:r>
            <w:r>
              <w:rPr>
                <w:rFonts w:hint="eastAsia" w:ascii="宋体" w:hAnsi="宋体" w:eastAsia="宋体" w:cs="宋体"/>
                <w:i w:val="0"/>
                <w:iCs w:val="0"/>
                <w:color w:val="000000"/>
                <w:kern w:val="0"/>
                <w:sz w:val="21"/>
                <w:szCs w:val="21"/>
                <w:u w:val="none"/>
                <w:lang w:val="en-US" w:eastAsia="zh-CN" w:bidi="ar"/>
              </w:rPr>
              <w:br w:type="textWrapping"/>
            </w:r>
          </w:p>
        </w:tc>
        <w:tc>
          <w:tcPr>
            <w:tcW w:w="2772"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适用于有自主呼吸的患者，可用于各种需要氧疗的场合，如急诊科、重症监护室（ICU）、呼吸内科等</w:t>
            </w:r>
          </w:p>
        </w:tc>
        <w:tc>
          <w:tcPr>
            <w:tcW w:w="1379"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经鼻高流量管道由进氧接口、氧气软管、调节环、鼻塞(或面罩)等组成</w:t>
            </w:r>
          </w:p>
        </w:tc>
        <w:tc>
          <w:tcPr>
            <w:tcW w:w="850"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50个</w:t>
            </w:r>
          </w:p>
        </w:tc>
        <w:tc>
          <w:tcPr>
            <w:tcW w:w="1003"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85元/个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809"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呼吸与危重症医学科</w:t>
            </w:r>
          </w:p>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14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外周血栓抽吸导管</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1"/>
                <w:szCs w:val="21"/>
                <w:u w:val="none"/>
                <w:lang w:val="en-US" w:eastAsia="zh-CN" w:bidi="ar"/>
              </w:rPr>
            </w:pPr>
          </w:p>
        </w:tc>
        <w:tc>
          <w:tcPr>
            <w:tcW w:w="2043"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外周血栓抽吸导管的外层涂覆亲水涂层，以降低在血管内操作导管时产生的摩擦。导管内腔有起润滑作用的PTFE（聚四氟乙烯）内衬，有助于产品沿导丝顺滑地推送。导管近端有一个鲁尔接头，用于与产品中随附的止血阀或其他产品相连接。导管的远端有一处不透射线的标记，有助于在透视下显影。导管头端可使用随附的塑性杆预先蒸汽塑形，以助于导管到位。随附的</w:t>
            </w:r>
            <w:bookmarkStart w:id="34" w:name="_GoBack"/>
            <w:bookmarkEnd w:id="34"/>
            <w:r>
              <w:rPr>
                <w:rFonts w:hint="default" w:ascii="宋体" w:hAnsi="宋体" w:eastAsia="宋体" w:cs="宋体"/>
                <w:i w:val="0"/>
                <w:iCs w:val="0"/>
                <w:color w:val="000000"/>
                <w:kern w:val="0"/>
                <w:sz w:val="21"/>
                <w:szCs w:val="21"/>
                <w:u w:val="none"/>
                <w:lang w:val="en-US" w:eastAsia="zh-CN" w:bidi="ar"/>
              </w:rPr>
              <w:t>可分离保护套用于辅助导管插入鞘管或止血阀。</w:t>
            </w:r>
          </w:p>
        </w:tc>
        <w:tc>
          <w:tcPr>
            <w:tcW w:w="2772"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外周血栓抽吸导管适用于去除外周血管系统中的血栓</w:t>
            </w:r>
          </w:p>
        </w:tc>
        <w:tc>
          <w:tcPr>
            <w:tcW w:w="1379"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外周血栓抽吸导管、可分离保护套、止血阀和塑性杆组成。</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20根</w:t>
            </w:r>
          </w:p>
        </w:tc>
        <w:tc>
          <w:tcPr>
            <w:tcW w:w="1003"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15100元/根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809"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呼吸与危重症医学科</w:t>
            </w:r>
          </w:p>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14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软组织活检针</w:t>
            </w:r>
          </w:p>
        </w:tc>
        <w:tc>
          <w:tcPr>
            <w:tcW w:w="2043"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针座K-树脂（苯乙烯-丁二烯共聚物），标记弹簧是302不锈钢；针管是302不锈钢；针芯接头是聚丙烯；针芯是304不锈钢。型号为18G ，长度为15cm/20cm</w:t>
            </w:r>
          </w:p>
        </w:tc>
        <w:tc>
          <w:tcPr>
            <w:tcW w:w="2772"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适用于经皮对软组织进行活体检查</w:t>
            </w:r>
          </w:p>
        </w:tc>
        <w:tc>
          <w:tcPr>
            <w:tcW w:w="1379"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产品由针座、标记弹簧、针管、针芯接头、针芯组成。针座K-树脂（苯乙烯-丁二烯共聚物），标记弹簧是302不锈钢；针管是302不锈钢；针芯接头是聚丙烯；针芯是304不锈钢。</w:t>
            </w:r>
          </w:p>
        </w:tc>
        <w:tc>
          <w:tcPr>
            <w:tcW w:w="850"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500根</w:t>
            </w:r>
          </w:p>
        </w:tc>
        <w:tc>
          <w:tcPr>
            <w:tcW w:w="1003"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190元/根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c>
          <w:tcPr>
            <w:tcW w:w="809"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1"/>
                <w:szCs w:val="21"/>
                <w:u w:val="none"/>
                <w:lang w:val="en-US" w:eastAsia="zh-CN" w:bidi="ar"/>
              </w:rPr>
              <w:t>药学部</w:t>
            </w:r>
          </w:p>
        </w:tc>
        <w:tc>
          <w:tcPr>
            <w:tcW w:w="14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测序反应通用试剂盒</w:t>
            </w:r>
          </w:p>
        </w:tc>
        <w:tc>
          <w:tcPr>
            <w:tcW w:w="2043"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10ul/支</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每个项目基因位点数量对应所需试剂用量</w:t>
            </w:r>
          </w:p>
        </w:tc>
        <w:tc>
          <w:tcPr>
            <w:tcW w:w="2772"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检测内容对氯吡格雷、阿司匹林、替格瑞洛、肝素（UFH/LMWH）、</w:t>
            </w:r>
            <w:r>
              <w:rPr>
                <w:rFonts w:hint="default" w:ascii="宋体" w:hAnsi="宋体" w:eastAsia="宋体" w:cs="宋体"/>
                <w:i w:val="0"/>
                <w:iCs w:val="0"/>
                <w:color w:val="000000"/>
                <w:kern w:val="0"/>
                <w:sz w:val="20"/>
                <w:szCs w:val="20"/>
                <w:u w:val="none"/>
                <w:lang w:val="en-US" w:eastAsia="zh-CN" w:bidi="ar"/>
              </w:rPr>
              <w:t>他汀类降脂药套餐(7个药物)</w:t>
            </w:r>
            <w:r>
              <w:rPr>
                <w:rFonts w:hint="eastAsia" w:ascii="宋体" w:hAnsi="宋体" w:eastAsia="宋体" w:cs="宋体"/>
                <w:i w:val="0"/>
                <w:iCs w:val="0"/>
                <w:color w:val="000000"/>
                <w:kern w:val="0"/>
                <w:sz w:val="20"/>
                <w:szCs w:val="20"/>
                <w:u w:val="none"/>
                <w:lang w:val="en-US" w:eastAsia="zh-CN" w:bidi="ar"/>
              </w:rPr>
              <w:t>、叶酸（H型高血压治疗）、甲氨蝶呤、糖皮质激素、伏立康唑、塞来昔布、氟比洛芬、氯诺昔康、布洛芬、美洛昔康、吡罗昔康、替诺昔康、 双氯芬酸、吲哚美辛、胰岛素抵抗风险及个体化用药、二甲双胍、格列本脲、格列美脲、甲苯磺丁脲、格列齐特、格列吡嗪、格列喹酮、瑞格列奈、罗格列酮、西格列汀、沙格列汀、维格列汀、利格列汀和阿格列汀（DPP-4抑制剂）、静脉血栓栓塞症(VTE)遗传风险（1位点）及个体化用药、叶酸（生殖）、氨氯地平、硝苯地平、非洛地平、拉西地平、尼群地平、氯沙坦、厄贝沙坦、卡托普利、赖诺普利、依那普利、贝那普利、培哚普利、福辛普利、氢氯噻嗪、呋塞米、螺内酯、美托洛尔、卡维地洛、普萘洛尔、阿替洛尔</w:t>
            </w:r>
            <w:r>
              <w:rPr>
                <w:rFonts w:hint="default" w:ascii="宋体" w:hAnsi="宋体" w:eastAsia="宋体" w:cs="宋体"/>
                <w:i w:val="0"/>
                <w:iCs w:val="0"/>
                <w:color w:val="000000"/>
                <w:kern w:val="0"/>
                <w:sz w:val="20"/>
                <w:szCs w:val="20"/>
                <w:u w:val="none"/>
                <w:lang w:val="en-US" w:eastAsia="zh-CN" w:bidi="ar"/>
              </w:rPr>
              <w:t>阿托伐他汀、辛伐他汀、普伐他汀、瑞舒伐他汀</w:t>
            </w:r>
            <w:r>
              <w:rPr>
                <w:rFonts w:hint="eastAsia" w:ascii="宋体" w:hAnsi="宋体" w:eastAsia="宋体" w:cs="宋体"/>
                <w:i w:val="0"/>
                <w:iCs w:val="0"/>
                <w:color w:val="000000"/>
                <w:kern w:val="0"/>
                <w:sz w:val="20"/>
                <w:szCs w:val="20"/>
                <w:u w:val="none"/>
                <w:lang w:val="en-US" w:eastAsia="zh-CN" w:bidi="ar"/>
              </w:rPr>
              <w:t>、</w:t>
            </w:r>
            <w:r>
              <w:rPr>
                <w:rFonts w:hint="default" w:ascii="宋体" w:hAnsi="宋体" w:eastAsia="宋体" w:cs="宋体"/>
                <w:i w:val="0"/>
                <w:iCs w:val="0"/>
                <w:color w:val="000000"/>
                <w:kern w:val="0"/>
                <w:sz w:val="20"/>
                <w:szCs w:val="20"/>
                <w:u w:val="none"/>
                <w:lang w:val="en-US" w:eastAsia="zh-CN" w:bidi="ar"/>
              </w:rPr>
              <w:t>阿托伐他汀、辛伐他汀、普伐他汀</w:t>
            </w:r>
            <w:r>
              <w:rPr>
                <w:rFonts w:hint="eastAsia" w:ascii="宋体" w:hAnsi="宋体" w:eastAsia="宋体" w:cs="宋体"/>
                <w:i w:val="0"/>
                <w:iCs w:val="0"/>
                <w:color w:val="000000"/>
                <w:kern w:val="0"/>
                <w:sz w:val="20"/>
                <w:szCs w:val="20"/>
                <w:u w:val="none"/>
                <w:lang w:val="en-US" w:eastAsia="zh-CN" w:bidi="ar"/>
              </w:rPr>
              <w:t>、阿托伐他汀、辛伐他汀、普伐他汀、氟伐他汀、</w:t>
            </w:r>
            <w:r>
              <w:rPr>
                <w:rFonts w:hint="default" w:ascii="宋体" w:hAnsi="宋体" w:eastAsia="宋体" w:cs="宋体"/>
                <w:i w:val="0"/>
                <w:iCs w:val="0"/>
                <w:color w:val="000000"/>
                <w:kern w:val="0"/>
                <w:sz w:val="20"/>
                <w:szCs w:val="20"/>
                <w:u w:val="none"/>
                <w:lang w:val="en-US" w:eastAsia="zh-CN" w:bidi="ar"/>
              </w:rPr>
              <w:t>他克莫司、环孢素A、西罗莫司</w:t>
            </w:r>
            <w:r>
              <w:rPr>
                <w:rFonts w:hint="eastAsia" w:ascii="宋体" w:hAnsi="宋体" w:eastAsia="宋体" w:cs="宋体"/>
                <w:i w:val="0"/>
                <w:iCs w:val="0"/>
                <w:color w:val="000000"/>
                <w:kern w:val="0"/>
                <w:sz w:val="20"/>
                <w:szCs w:val="20"/>
                <w:u w:val="none"/>
                <w:lang w:val="en-US" w:eastAsia="zh-CN" w:bidi="ar"/>
              </w:rPr>
              <w:t>、巯嘌呤、硫唑嘌呤、硫鸟嘌呤、氟尿嘧啶、卡培他滨、替加氟、伊立替康、他莫昔芬、奥美拉唑、兰索拉唑、泮托拉唑、异烟肼、利福平、别嘌醇、</w:t>
            </w:r>
            <w:r>
              <w:rPr>
                <w:rFonts w:hint="default" w:ascii="宋体" w:hAnsi="宋体" w:eastAsia="宋体" w:cs="宋体"/>
                <w:i w:val="0"/>
                <w:iCs w:val="0"/>
                <w:color w:val="000000"/>
                <w:kern w:val="0"/>
                <w:sz w:val="20"/>
                <w:szCs w:val="20"/>
                <w:u w:val="none"/>
                <w:lang w:val="en-US" w:eastAsia="zh-CN" w:bidi="ar"/>
              </w:rPr>
              <w:t>芬太尼</w:t>
            </w:r>
            <w:r>
              <w:rPr>
                <w:rFonts w:hint="eastAsia" w:ascii="宋体" w:hAnsi="宋体" w:eastAsia="宋体" w:cs="宋体"/>
                <w:i w:val="0"/>
                <w:iCs w:val="0"/>
                <w:color w:val="000000"/>
                <w:kern w:val="0"/>
                <w:sz w:val="20"/>
                <w:szCs w:val="20"/>
                <w:u w:val="none"/>
                <w:lang w:val="en-US" w:eastAsia="zh-CN" w:bidi="ar"/>
              </w:rPr>
              <w:t>、</w:t>
            </w:r>
            <w:r>
              <w:rPr>
                <w:rFonts w:hint="default" w:ascii="宋体" w:hAnsi="宋体" w:eastAsia="宋体" w:cs="宋体"/>
                <w:i w:val="0"/>
                <w:iCs w:val="0"/>
                <w:color w:val="000000"/>
                <w:kern w:val="0"/>
                <w:sz w:val="20"/>
                <w:szCs w:val="20"/>
                <w:u w:val="none"/>
                <w:lang w:val="en-US" w:eastAsia="zh-CN" w:bidi="ar"/>
              </w:rPr>
              <w:t>舒芬太尼</w:t>
            </w:r>
            <w:r>
              <w:rPr>
                <w:rFonts w:hint="eastAsia" w:ascii="宋体" w:hAnsi="宋体" w:eastAsia="宋体" w:cs="宋体"/>
                <w:i w:val="0"/>
                <w:iCs w:val="0"/>
                <w:color w:val="000000"/>
                <w:kern w:val="0"/>
                <w:sz w:val="20"/>
                <w:szCs w:val="20"/>
                <w:u w:val="none"/>
                <w:lang w:val="en-US" w:eastAsia="zh-CN" w:bidi="ar"/>
              </w:rPr>
              <w:t>、</w:t>
            </w:r>
            <w:r>
              <w:rPr>
                <w:rFonts w:hint="default" w:ascii="宋体" w:hAnsi="宋体" w:eastAsia="宋体" w:cs="宋体"/>
                <w:i w:val="0"/>
                <w:iCs w:val="0"/>
                <w:color w:val="000000"/>
                <w:kern w:val="0"/>
                <w:sz w:val="20"/>
                <w:szCs w:val="20"/>
                <w:u w:val="none"/>
                <w:lang w:val="en-US" w:eastAsia="zh-CN" w:bidi="ar"/>
              </w:rPr>
              <w:t>瑞芬太尼</w:t>
            </w:r>
            <w:r>
              <w:rPr>
                <w:rFonts w:hint="eastAsia" w:ascii="宋体" w:hAnsi="宋体" w:eastAsia="宋体" w:cs="宋体"/>
                <w:i w:val="0"/>
                <w:iCs w:val="0"/>
                <w:color w:val="000000"/>
                <w:kern w:val="0"/>
                <w:sz w:val="20"/>
                <w:szCs w:val="20"/>
                <w:u w:val="none"/>
                <w:lang w:val="en-US" w:eastAsia="zh-CN" w:bidi="ar"/>
              </w:rPr>
              <w:t>、</w:t>
            </w:r>
            <w:r>
              <w:rPr>
                <w:rFonts w:hint="default" w:ascii="宋体" w:hAnsi="宋体" w:eastAsia="宋体" w:cs="宋体"/>
                <w:i w:val="0"/>
                <w:iCs w:val="0"/>
                <w:color w:val="000000"/>
                <w:kern w:val="0"/>
                <w:sz w:val="20"/>
                <w:szCs w:val="20"/>
                <w:u w:val="none"/>
                <w:lang w:val="en-US" w:eastAsia="zh-CN" w:bidi="ar"/>
              </w:rPr>
              <w:t>吗啡</w:t>
            </w:r>
            <w:r>
              <w:rPr>
                <w:rFonts w:hint="eastAsia" w:ascii="宋体" w:hAnsi="宋体" w:eastAsia="宋体" w:cs="宋体"/>
                <w:i w:val="0"/>
                <w:iCs w:val="0"/>
                <w:color w:val="000000"/>
                <w:kern w:val="0"/>
                <w:sz w:val="20"/>
                <w:szCs w:val="20"/>
                <w:u w:val="none"/>
                <w:lang w:val="en-US" w:eastAsia="zh-CN" w:bidi="ar"/>
              </w:rPr>
              <w:t>、</w:t>
            </w:r>
            <w:r>
              <w:rPr>
                <w:rFonts w:hint="default" w:ascii="宋体" w:hAnsi="宋体" w:eastAsia="宋体" w:cs="宋体"/>
                <w:i w:val="0"/>
                <w:iCs w:val="0"/>
                <w:color w:val="000000"/>
                <w:kern w:val="0"/>
                <w:sz w:val="20"/>
                <w:szCs w:val="20"/>
                <w:u w:val="none"/>
                <w:lang w:val="en-US" w:eastAsia="zh-CN" w:bidi="ar"/>
              </w:rPr>
              <w:t>喷他佐辛</w:t>
            </w:r>
            <w:r>
              <w:rPr>
                <w:rFonts w:hint="eastAsia" w:ascii="宋体" w:hAnsi="宋体" w:eastAsia="宋体" w:cs="宋体"/>
                <w:i w:val="0"/>
                <w:iCs w:val="0"/>
                <w:color w:val="000000"/>
                <w:kern w:val="0"/>
                <w:sz w:val="20"/>
                <w:szCs w:val="20"/>
                <w:u w:val="none"/>
                <w:lang w:val="en-US" w:eastAsia="zh-CN" w:bidi="ar"/>
              </w:rPr>
              <w:t>、</w:t>
            </w:r>
            <w:r>
              <w:rPr>
                <w:rFonts w:hint="default" w:ascii="宋体" w:hAnsi="宋体" w:eastAsia="宋体" w:cs="宋体"/>
                <w:i w:val="0"/>
                <w:iCs w:val="0"/>
                <w:color w:val="000000"/>
                <w:kern w:val="0"/>
                <w:sz w:val="20"/>
                <w:szCs w:val="20"/>
                <w:u w:val="none"/>
                <w:lang w:val="en-US" w:eastAsia="zh-CN" w:bidi="ar"/>
              </w:rPr>
              <w:t>哌替啶</w:t>
            </w:r>
            <w:r>
              <w:rPr>
                <w:rFonts w:hint="eastAsia" w:ascii="宋体" w:hAnsi="宋体" w:eastAsia="宋体" w:cs="宋体"/>
                <w:i w:val="0"/>
                <w:iCs w:val="0"/>
                <w:color w:val="000000"/>
                <w:kern w:val="0"/>
                <w:sz w:val="20"/>
                <w:szCs w:val="20"/>
                <w:u w:val="none"/>
                <w:lang w:val="en-US" w:eastAsia="zh-CN" w:bidi="ar"/>
              </w:rPr>
              <w:t>、</w:t>
            </w:r>
            <w:r>
              <w:rPr>
                <w:rFonts w:hint="default" w:ascii="宋体" w:hAnsi="宋体" w:eastAsia="宋体" w:cs="宋体"/>
                <w:i w:val="0"/>
                <w:iCs w:val="0"/>
                <w:color w:val="000000"/>
                <w:kern w:val="0"/>
                <w:sz w:val="20"/>
                <w:szCs w:val="20"/>
                <w:u w:val="none"/>
                <w:lang w:val="en-US" w:eastAsia="zh-CN" w:bidi="ar"/>
              </w:rPr>
              <w:t>丁丙诺啡</w:t>
            </w:r>
            <w:r>
              <w:rPr>
                <w:rFonts w:hint="eastAsia" w:ascii="宋体" w:hAnsi="宋体" w:eastAsia="宋体" w:cs="宋体"/>
                <w:i w:val="0"/>
                <w:iCs w:val="0"/>
                <w:color w:val="000000"/>
                <w:kern w:val="0"/>
                <w:sz w:val="20"/>
                <w:szCs w:val="20"/>
                <w:u w:val="none"/>
                <w:lang w:val="en-US" w:eastAsia="zh-CN" w:bidi="ar"/>
              </w:rPr>
              <w:t>、</w:t>
            </w:r>
            <w:r>
              <w:rPr>
                <w:rFonts w:hint="default" w:ascii="宋体" w:hAnsi="宋体" w:eastAsia="宋体" w:cs="宋体"/>
                <w:i w:val="0"/>
                <w:iCs w:val="0"/>
                <w:color w:val="000000"/>
                <w:kern w:val="0"/>
                <w:sz w:val="20"/>
                <w:szCs w:val="20"/>
                <w:u w:val="none"/>
                <w:lang w:val="en-US" w:eastAsia="zh-CN" w:bidi="ar"/>
              </w:rPr>
              <w:t>曲马多</w:t>
            </w:r>
            <w:r>
              <w:rPr>
                <w:rFonts w:hint="eastAsia" w:ascii="宋体" w:hAnsi="宋体" w:eastAsia="宋体" w:cs="宋体"/>
                <w:i w:val="0"/>
                <w:iCs w:val="0"/>
                <w:color w:val="000000"/>
                <w:kern w:val="0"/>
                <w:sz w:val="20"/>
                <w:szCs w:val="20"/>
                <w:u w:val="none"/>
                <w:lang w:val="en-US" w:eastAsia="zh-CN" w:bidi="ar"/>
              </w:rPr>
              <w:t>、</w:t>
            </w:r>
            <w:r>
              <w:rPr>
                <w:rFonts w:hint="default" w:ascii="宋体" w:hAnsi="宋体" w:eastAsia="宋体" w:cs="宋体"/>
                <w:i w:val="0"/>
                <w:iCs w:val="0"/>
                <w:color w:val="000000"/>
                <w:kern w:val="0"/>
                <w:sz w:val="20"/>
                <w:szCs w:val="20"/>
                <w:u w:val="none"/>
                <w:lang w:val="en-US" w:eastAsia="zh-CN" w:bidi="ar"/>
              </w:rPr>
              <w:t>可待因</w:t>
            </w:r>
            <w:r>
              <w:rPr>
                <w:rFonts w:hint="eastAsia" w:ascii="宋体" w:hAnsi="宋体" w:eastAsia="宋体" w:cs="宋体"/>
                <w:i w:val="0"/>
                <w:iCs w:val="0"/>
                <w:color w:val="000000"/>
                <w:kern w:val="0"/>
                <w:sz w:val="20"/>
                <w:szCs w:val="20"/>
                <w:u w:val="none"/>
                <w:lang w:val="en-US" w:eastAsia="zh-CN" w:bidi="ar"/>
              </w:rPr>
              <w:t>、</w:t>
            </w:r>
            <w:r>
              <w:rPr>
                <w:rFonts w:hint="default" w:ascii="宋体" w:hAnsi="宋体" w:eastAsia="宋体" w:cs="宋体"/>
                <w:i w:val="0"/>
                <w:iCs w:val="0"/>
                <w:color w:val="000000"/>
                <w:kern w:val="0"/>
                <w:sz w:val="20"/>
                <w:szCs w:val="20"/>
                <w:u w:val="none"/>
                <w:lang w:val="en-US" w:eastAsia="zh-CN" w:bidi="ar"/>
              </w:rPr>
              <w:t>丙泊酚</w:t>
            </w:r>
            <w:r>
              <w:rPr>
                <w:rFonts w:hint="eastAsia" w:ascii="宋体" w:hAnsi="宋体" w:eastAsia="宋体" w:cs="宋体"/>
                <w:i w:val="0"/>
                <w:iCs w:val="0"/>
                <w:color w:val="000000"/>
                <w:kern w:val="0"/>
                <w:sz w:val="20"/>
                <w:szCs w:val="20"/>
                <w:u w:val="none"/>
                <w:lang w:val="en-US" w:eastAsia="zh-CN" w:bidi="ar"/>
              </w:rPr>
              <w:t>、托莫西汀、哌甲酯、饮酒（安全性）、新生儿出生缺陷遗传风险及个体化用药、子痫前期遗传风险及个体化用药、围产期抑郁遗传风险及个体化用药、复发性流产遗传风险及个体化用药、静脉血栓栓塞症遗传风险（孕产）及个体化用药、妊娠期糖尿病遗传风险及个体化防治、2型糖尿病遗传风险评估及个体化防治、静脉血栓栓塞症(VTE)遗传风险（3位点）及个体化用药、静脉血栓栓塞症(VTE)遗传风险（2位点）及个体化用药、痴呆症（AD和VaD）遗传风险及个体化用药、卒中遗传风险及个体化用药、脑小血管病遗传风险及个体化用药、偏头痛遗传风险及个体化用药、动脉血栓遗传风险及个体化用药、原发性高血压遗传风险及个体化用药、 冠心病遗传风险及个体化用药基因检测，检测要求2小时内出结果。</w:t>
            </w:r>
          </w:p>
        </w:tc>
        <w:tc>
          <w:tcPr>
            <w:tcW w:w="1379"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配套使用设备济南广音生产的GYH-48A型核酸分子杂交仪</w:t>
            </w:r>
          </w:p>
        </w:tc>
        <w:tc>
          <w:tcPr>
            <w:tcW w:w="850"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3000人份</w:t>
            </w:r>
          </w:p>
        </w:tc>
        <w:tc>
          <w:tcPr>
            <w:tcW w:w="1003"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148元/人份</w:t>
            </w:r>
          </w:p>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p>
        </w:tc>
        <w:tc>
          <w:tcPr>
            <w:tcW w:w="809"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心血管内科</w:t>
            </w:r>
          </w:p>
        </w:tc>
        <w:tc>
          <w:tcPr>
            <w:tcW w:w="14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临时</w:t>
            </w:r>
            <w:r>
              <w:rPr>
                <w:rFonts w:hint="eastAsia" w:ascii="宋体" w:hAnsi="宋体" w:cs="宋体"/>
                <w:i w:val="0"/>
                <w:iCs w:val="0"/>
                <w:color w:val="000000"/>
                <w:kern w:val="0"/>
                <w:sz w:val="20"/>
                <w:szCs w:val="20"/>
                <w:u w:val="none"/>
                <w:lang w:val="en-US" w:eastAsia="zh-CN" w:bidi="ar"/>
              </w:rPr>
              <w:t>心脏</w:t>
            </w:r>
            <w:r>
              <w:rPr>
                <w:rFonts w:hint="eastAsia" w:ascii="宋体" w:hAnsi="宋体" w:eastAsia="宋体" w:cs="宋体"/>
                <w:i w:val="0"/>
                <w:iCs w:val="0"/>
                <w:color w:val="000000"/>
                <w:kern w:val="0"/>
                <w:sz w:val="20"/>
                <w:szCs w:val="20"/>
                <w:u w:val="none"/>
                <w:lang w:val="en-US" w:eastAsia="zh-CN" w:bidi="ar"/>
              </w:rPr>
              <w:t>起搏器电极导管</w:t>
            </w:r>
          </w:p>
        </w:tc>
        <w:tc>
          <w:tcPr>
            <w:tcW w:w="2043"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硅聚氨酯共聚物绝缘层合金导体</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该临时起搏器电极导管为漂浮临时起搏器导管，需要漂浮临时起搏器电极导管</w:t>
            </w:r>
          </w:p>
        </w:tc>
        <w:tc>
          <w:tcPr>
            <w:tcW w:w="2772"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适用于在临时室经静脉右心室起搏中使用，特别对于危重病人抢救时床旁紧急使用，也可以用于大手术及瓣膜手术时支持治疗</w:t>
            </w:r>
          </w:p>
        </w:tc>
        <w:tc>
          <w:tcPr>
            <w:tcW w:w="1379"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电极导管、电极导管保护套、导管鞘、注射器、穿刺针和电极组成‌</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center"/>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r>
              <w:rPr>
                <w:rFonts w:hint="eastAsia" w:ascii="宋体" w:hAnsi="宋体" w:cs="宋体"/>
                <w:i w:val="0"/>
                <w:iCs w:val="0"/>
                <w:color w:val="000000"/>
                <w:kern w:val="0"/>
                <w:sz w:val="20"/>
                <w:szCs w:val="20"/>
                <w:u w:val="none"/>
                <w:lang w:val="en-US" w:eastAsia="zh-CN" w:bidi="ar"/>
              </w:rPr>
              <w:t>根</w:t>
            </w:r>
          </w:p>
        </w:tc>
        <w:tc>
          <w:tcPr>
            <w:tcW w:w="1003"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center"/>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1140</w:t>
            </w:r>
            <w:r>
              <w:rPr>
                <w:rFonts w:hint="eastAsia" w:ascii="宋体" w:hAnsi="宋体" w:cs="宋体"/>
                <w:i w:val="0"/>
                <w:iCs w:val="0"/>
                <w:color w:val="000000"/>
                <w:kern w:val="0"/>
                <w:sz w:val="20"/>
                <w:szCs w:val="20"/>
                <w:u w:val="none"/>
                <w:lang w:val="en-US" w:eastAsia="zh-CN" w:bidi="ar"/>
              </w:rPr>
              <w:t>元/根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w:t>
            </w:r>
          </w:p>
        </w:tc>
        <w:tc>
          <w:tcPr>
            <w:tcW w:w="8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神经外科</w:t>
            </w:r>
          </w:p>
        </w:tc>
        <w:tc>
          <w:tcPr>
            <w:tcW w:w="14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EVAL非粘附性液体栓塞剂</w:t>
            </w:r>
          </w:p>
        </w:tc>
        <w:tc>
          <w:tcPr>
            <w:tcW w:w="2043"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p>
        </w:tc>
        <w:tc>
          <w:tcPr>
            <w:tcW w:w="277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该产品用于脑血管畸形的血管内栓塞治疗。</w:t>
            </w:r>
          </w:p>
        </w:tc>
        <w:tc>
          <w:tcPr>
            <w:tcW w:w="137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该产品主要由EVAL聚合物溶液及显影剂组成。EVAL聚合物溶液主要成分为乙烯-乙烯醇共聚物(EVAL)、二甲亚砜(DMSO)和无水乙醇共混溶液，显影剂成分为钽粉。并配有1ml 注射器(无针头)3支及1.5mlDMSO一瓶，分别用于栓塞剂输入及微导管预充。注射器筒身材质为聚丙烯。货架有效期两年。</w:t>
            </w:r>
          </w:p>
        </w:tc>
        <w:tc>
          <w:tcPr>
            <w:tcW w:w="850"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10</w:t>
            </w:r>
            <w:r>
              <w:rPr>
                <w:rFonts w:hint="eastAsia" w:ascii="宋体" w:hAnsi="宋体" w:cs="宋体"/>
                <w:i w:val="0"/>
                <w:iCs w:val="0"/>
                <w:color w:val="000000"/>
                <w:kern w:val="0"/>
                <w:sz w:val="21"/>
                <w:szCs w:val="21"/>
                <w:u w:val="none"/>
                <w:lang w:val="en-US" w:eastAsia="zh-CN" w:bidi="ar"/>
              </w:rPr>
              <w:t>套</w:t>
            </w:r>
          </w:p>
        </w:tc>
        <w:tc>
          <w:tcPr>
            <w:tcW w:w="1003"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6402元/套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w:t>
            </w:r>
          </w:p>
        </w:tc>
        <w:tc>
          <w:tcPr>
            <w:tcW w:w="809"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检验科</w:t>
            </w:r>
          </w:p>
        </w:tc>
        <w:tc>
          <w:tcPr>
            <w:tcW w:w="1450"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头孢他啶/阿维巴坦药敏纸片</w:t>
            </w:r>
          </w:p>
        </w:tc>
        <w:tc>
          <w:tcPr>
            <w:tcW w:w="2043"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含有30ug头孢他啶/20ug阿维巴坦纸片</w:t>
            </w:r>
          </w:p>
        </w:tc>
        <w:tc>
          <w:tcPr>
            <w:tcW w:w="2772"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用于抗生素药敏分析纸片</w:t>
            </w:r>
          </w:p>
        </w:tc>
        <w:tc>
          <w:tcPr>
            <w:tcW w:w="137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塑料盖玻璃瓶避光密封，-20℃-8℃保存</w:t>
            </w:r>
          </w:p>
        </w:tc>
        <w:tc>
          <w:tcPr>
            <w:tcW w:w="850"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200片</w:t>
            </w:r>
          </w:p>
        </w:tc>
        <w:tc>
          <w:tcPr>
            <w:tcW w:w="1003"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1.2元/片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w:t>
            </w:r>
          </w:p>
        </w:tc>
        <w:tc>
          <w:tcPr>
            <w:tcW w:w="809"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儿科</w:t>
            </w:r>
          </w:p>
        </w:tc>
        <w:tc>
          <w:tcPr>
            <w:tcW w:w="14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吊瓶式输液器带针</w:t>
            </w:r>
          </w:p>
        </w:tc>
        <w:tc>
          <w:tcPr>
            <w:tcW w:w="2043"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规格：婴幼儿使用，小针头</w:t>
            </w:r>
          </w:p>
        </w:tc>
        <w:tc>
          <w:tcPr>
            <w:tcW w:w="277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以分液输注为主要目的，在重力作用下，供人体静脉输液用。</w:t>
            </w:r>
          </w:p>
        </w:tc>
        <w:tc>
          <w:tcPr>
            <w:tcW w:w="137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50"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p>
        </w:tc>
        <w:tc>
          <w:tcPr>
            <w:tcW w:w="1003"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1.8元/支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w:t>
            </w:r>
          </w:p>
        </w:tc>
        <w:tc>
          <w:tcPr>
            <w:tcW w:w="809"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儿科</w:t>
            </w:r>
          </w:p>
        </w:tc>
        <w:tc>
          <w:tcPr>
            <w:tcW w:w="14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一次性使用吸痰管</w:t>
            </w:r>
          </w:p>
        </w:tc>
        <w:tc>
          <w:tcPr>
            <w:tcW w:w="2043"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材质硅胶，型号管径</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2.0mm和</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mm</w:t>
            </w:r>
          </w:p>
        </w:tc>
        <w:tc>
          <w:tcPr>
            <w:tcW w:w="2772"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用于儿科患儿吸痰时使用。</w:t>
            </w:r>
          </w:p>
        </w:tc>
        <w:tc>
          <w:tcPr>
            <w:tcW w:w="137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003"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1.7元/支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11</w:t>
            </w:r>
          </w:p>
        </w:tc>
        <w:tc>
          <w:tcPr>
            <w:tcW w:w="809"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手术室</w:t>
            </w:r>
          </w:p>
        </w:tc>
        <w:tc>
          <w:tcPr>
            <w:tcW w:w="14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一次性使用无菌梅花头导尿引流管</w:t>
            </w:r>
          </w:p>
        </w:tc>
        <w:tc>
          <w:tcPr>
            <w:tcW w:w="2043"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w:t>
            </w:r>
            <w:r>
              <w:rPr>
                <w:rFonts w:hint="eastAsia" w:ascii="宋体" w:hAnsi="宋体" w:cs="宋体"/>
                <w:i w:val="0"/>
                <w:iCs w:val="0"/>
                <w:color w:val="000000"/>
                <w:kern w:val="0"/>
                <w:sz w:val="20"/>
                <w:szCs w:val="20"/>
                <w:u w:val="none"/>
                <w:lang w:val="en-US" w:eastAsia="zh-CN" w:bidi="ar"/>
              </w:rPr>
              <w:t>至少包含5个规格，提供样品给采购如查看</w:t>
            </w:r>
          </w:p>
        </w:tc>
        <w:tc>
          <w:tcPr>
            <w:tcW w:w="277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对膀胱或肾脏造瘘患者导尿引流时一次性使用。</w:t>
            </w:r>
          </w:p>
        </w:tc>
        <w:tc>
          <w:tcPr>
            <w:tcW w:w="137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003"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4.2元/支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12</w:t>
            </w:r>
          </w:p>
        </w:tc>
        <w:tc>
          <w:tcPr>
            <w:tcW w:w="809"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肝胆外科</w:t>
            </w:r>
          </w:p>
        </w:tc>
        <w:tc>
          <w:tcPr>
            <w:tcW w:w="14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一次性使用胶乳胆管引流管</w:t>
            </w:r>
          </w:p>
        </w:tc>
        <w:tc>
          <w:tcPr>
            <w:tcW w:w="2043"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型号根据中选供应商提供及采购人查看后确定</w:t>
            </w:r>
            <w:r>
              <w:rPr>
                <w:rFonts w:hint="eastAsia" w:ascii="宋体" w:hAnsi="宋体" w:cs="宋体"/>
                <w:i w:val="0"/>
                <w:iCs w:val="0"/>
                <w:color w:val="000000"/>
                <w:kern w:val="0"/>
                <w:sz w:val="20"/>
                <w:szCs w:val="20"/>
                <w:u w:val="none"/>
                <w:lang w:val="en-US" w:eastAsia="zh-CN" w:bidi="ar"/>
              </w:rPr>
              <w:t>，提供样品给采购如查看</w:t>
            </w:r>
          </w:p>
        </w:tc>
        <w:tc>
          <w:tcPr>
            <w:tcW w:w="277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适用于胆道术后胆管引流时一次性使用。</w:t>
            </w:r>
          </w:p>
        </w:tc>
        <w:tc>
          <w:tcPr>
            <w:tcW w:w="137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003"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3.29元/支</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注：年预估用量并非采购量承诺，以实际用量据实结算。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二、商务需求：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1.合作要求：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1</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本项目</w:t>
      </w:r>
      <w:r>
        <w:rPr>
          <w:rFonts w:hint="eastAsia" w:ascii="方正仿宋_GBK" w:hAnsi="方正仿宋_GBK" w:eastAsia="方正仿宋_GBK" w:cs="方正仿宋_GBK"/>
          <w:b/>
          <w:color w:val="auto"/>
          <w:sz w:val="30"/>
          <w:szCs w:val="30"/>
          <w:highlight w:val="none"/>
        </w:rPr>
        <w:t>为单价合同，</w:t>
      </w:r>
      <w:r>
        <w:rPr>
          <w:rFonts w:hint="eastAsia" w:ascii="方正仿宋_GBK" w:hAnsi="方正仿宋_GBK" w:eastAsia="方正仿宋_GBK" w:cs="方正仿宋_GBK"/>
          <w:b/>
          <w:color w:val="auto"/>
          <w:sz w:val="30"/>
          <w:szCs w:val="30"/>
          <w:highlight w:val="none"/>
          <w:lang w:val="en-US" w:eastAsia="zh-CN"/>
        </w:rPr>
        <w:t>合同期间如遇国家或上级政策调整合同无法继续执行，医院有权要求终止或更正合同，成交供应商须无条件接受；</w:t>
      </w:r>
      <w:r>
        <w:rPr>
          <w:rFonts w:hint="eastAsia" w:ascii="方正仿宋_GBK" w:hAnsi="方正仿宋_GBK" w:eastAsia="方正仿宋_GBK" w:cs="方正仿宋_GBK"/>
          <w:b/>
          <w:color w:val="auto"/>
          <w:sz w:val="30"/>
          <w:szCs w:val="30"/>
          <w:highlight w:val="yellow"/>
          <w:lang w:val="en-US" w:eastAsia="zh-CN"/>
        </w:rPr>
        <w:t>如供应商在履约期间遇到不可抗力等事由不能继续供货，应提前2周书面来函告知，给采购人留足采购时间。合同期内非因不可抗力原因导致某项产品停供，授权到期不能继续获得新授权或授权被提前终止，以及不可抗力原因导致某产品停供但未提前2周告知的，供应商将承担1000元/项产品的违约责任（在货款中扣除）及由此产生的紧急采购成本。</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（2）供应商需提供药交所最低成交价和重庆地区最低价承诺，产品价格下降应在一周内书面通知采购人，违反承诺将承担5万元违约金，并从最低价执行之日倒结算并退还采购人多支付的费用。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rPr>
      </w:pPr>
      <w:r>
        <w:rPr>
          <w:rFonts w:hint="eastAsia" w:ascii="方正仿宋_GBK" w:hAnsi="方正仿宋_GBK" w:eastAsia="方正仿宋_GBK" w:cs="方正仿宋_GBK"/>
          <w:b/>
          <w:color w:val="auto"/>
          <w:sz w:val="30"/>
          <w:szCs w:val="30"/>
          <w:highlight w:val="none"/>
          <w:lang w:val="en-US" w:eastAsia="zh-CN"/>
        </w:rPr>
        <w:t>（3）合同期间根据供应商履约及产品质量情况进行考核，供应商的配送服务不及时或产品质量不合格以及违反最低价承诺的采购人可随时终止合同，因产品设计缺陷和质量问题造成患者损害应全额赔偿</w:t>
      </w:r>
      <w:r>
        <w:rPr>
          <w:rFonts w:hint="eastAsia" w:ascii="方正仿宋_GBK" w:hAnsi="方正仿宋_GBK" w:eastAsia="方正仿宋_GBK" w:cs="方正仿宋_GBK"/>
          <w:b/>
          <w:color w:val="auto"/>
          <w:sz w:val="30"/>
          <w:szCs w:val="30"/>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4</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供应商在履约过程中，放弃合同中的部分产品，采购人有权终止整个合同，避免供应商选择性供应利润较大的产品。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2.</w:t>
      </w:r>
      <w:r>
        <w:rPr>
          <w:rFonts w:hint="eastAsia" w:ascii="方正仿宋_GBK" w:hAnsi="方正仿宋_GBK" w:eastAsia="方正仿宋_GBK" w:cs="方正仿宋_GBK"/>
          <w:b/>
          <w:sz w:val="30"/>
          <w:szCs w:val="30"/>
          <w:highlight w:val="none"/>
        </w:rPr>
        <w:t>投标人（下称竞标人或称供应商</w:t>
      </w:r>
      <w:r>
        <w:rPr>
          <w:rFonts w:hint="eastAsia" w:ascii="方正仿宋_GBK" w:hAnsi="方正仿宋_GBK" w:eastAsia="方正仿宋_GBK" w:cs="方正仿宋_GBK"/>
          <w:b/>
          <w:bCs w:val="0"/>
          <w:sz w:val="30"/>
          <w:szCs w:val="30"/>
          <w:highlight w:val="none"/>
        </w:rPr>
        <w:t>）</w:t>
      </w:r>
      <w:r>
        <w:rPr>
          <w:rStyle w:val="12"/>
          <w:rFonts w:hint="eastAsia" w:ascii="方正仿宋_GBK" w:hAnsi="方正仿宋_GBK" w:eastAsia="方正仿宋_GBK" w:cs="方正仿宋_GBK"/>
          <w:b/>
          <w:bCs w:val="0"/>
          <w:color w:val="auto"/>
          <w:kern w:val="2"/>
          <w:sz w:val="30"/>
          <w:szCs w:val="30"/>
          <w:highlight w:val="none"/>
          <w:u w:val="none" w:color="000000"/>
          <w:lang w:val="zh-TW" w:eastAsia="zh-TW"/>
        </w:rPr>
        <w:t>资格条件</w:t>
      </w:r>
      <w:r>
        <w:rPr>
          <w:rFonts w:hint="eastAsia" w:ascii="方正仿宋_GBK" w:hAnsi="方正仿宋_GBK" w:eastAsia="方正仿宋_GBK" w:cs="方正仿宋_GBK"/>
          <w:b/>
          <w:sz w:val="30"/>
          <w:szCs w:val="30"/>
          <w:highlight w:val="none"/>
        </w:rPr>
        <w:t>：</w:t>
      </w:r>
    </w:p>
    <w:p>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w:t>
      </w:r>
      <w:r>
        <w:rPr>
          <w:rStyle w:val="12"/>
          <w:rFonts w:hint="eastAsia" w:ascii="方正仿宋_GBK" w:hAnsi="方正仿宋_GBK" w:eastAsia="方正仿宋_GBK" w:cs="方正仿宋_GBK"/>
          <w:color w:val="auto"/>
          <w:kern w:val="2"/>
          <w:sz w:val="30"/>
          <w:szCs w:val="30"/>
          <w:highlight w:val="none"/>
          <w:u w:val="none" w:color="000000"/>
          <w:lang w:val="en-US" w:eastAsia="zh-CN"/>
        </w:rPr>
        <w:t>1</w:t>
      </w:r>
      <w:r>
        <w:rPr>
          <w:rStyle w:val="12"/>
          <w:rFonts w:hint="eastAsia" w:ascii="方正仿宋_GBK" w:hAnsi="方正仿宋_GBK" w:eastAsia="方正仿宋_GBK" w:cs="方正仿宋_GBK"/>
          <w:color w:val="auto"/>
          <w:kern w:val="2"/>
          <w:sz w:val="30"/>
          <w:szCs w:val="30"/>
          <w:highlight w:val="none"/>
          <w:u w:val="none" w:color="000000"/>
          <w:lang w:val="zh-TW" w:eastAsia="zh-TW"/>
        </w:rPr>
        <w:t>）基本资格条件</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①具有独立承担民事责任的能力；</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②具有良好的商业信誉和健全的财务会计制度；</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③具有履行合同所必需的设备和专业技术能力；</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④有依法缴纳税收和社会保障资金的良好记录；</w:t>
      </w:r>
    </w:p>
    <w:p>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⑤参加招投标活动前三年内，在经营活动中没有重大违法记录。</w:t>
      </w:r>
    </w:p>
    <w:p>
      <w:pPr>
        <w:pStyle w:val="20"/>
        <w:spacing w:line="400" w:lineRule="exact"/>
        <w:ind w:firstLine="480"/>
        <w:rPr>
          <w:rStyle w:val="12"/>
          <w:rFonts w:hint="eastAsia" w:ascii="方正仿宋_GBK" w:hAnsi="方正仿宋_GBK" w:eastAsia="方正仿宋_GBK" w:cs="方正仿宋_GBK"/>
          <w:color w:val="auto"/>
          <w:sz w:val="30"/>
          <w:szCs w:val="30"/>
          <w:highlight w:val="none"/>
          <w:lang w:val="zh-TW" w:eastAsia="zh-TW"/>
        </w:rPr>
      </w:pPr>
      <w:r>
        <w:rPr>
          <w:rStyle w:val="12"/>
          <w:rFonts w:hint="eastAsia" w:ascii="方正仿宋_GBK" w:hAnsi="方正仿宋_GBK" w:eastAsia="方正仿宋_GBK" w:cs="方正仿宋_GBK"/>
          <w:color w:val="auto"/>
          <w:sz w:val="30"/>
          <w:szCs w:val="30"/>
          <w:highlight w:val="none"/>
          <w:lang w:val="zh-TW" w:eastAsia="zh-TW"/>
        </w:rPr>
        <w:t>（</w:t>
      </w:r>
      <w:r>
        <w:rPr>
          <w:rStyle w:val="12"/>
          <w:rFonts w:hint="eastAsia" w:ascii="方正仿宋_GBK" w:hAnsi="方正仿宋_GBK" w:eastAsia="方正仿宋_GBK" w:cs="方正仿宋_GBK"/>
          <w:color w:val="auto"/>
          <w:sz w:val="30"/>
          <w:szCs w:val="30"/>
          <w:highlight w:val="none"/>
          <w:lang w:val="en-US" w:eastAsia="zh-CN"/>
        </w:rPr>
        <w:t>2</w:t>
      </w:r>
      <w:r>
        <w:rPr>
          <w:rStyle w:val="12"/>
          <w:rFonts w:hint="eastAsia" w:ascii="方正仿宋_GBK" w:hAnsi="方正仿宋_GBK" w:eastAsia="方正仿宋_GBK" w:cs="方正仿宋_GBK"/>
          <w:color w:val="auto"/>
          <w:sz w:val="30"/>
          <w:szCs w:val="30"/>
          <w:highlight w:val="none"/>
          <w:lang w:val="zh-TW" w:eastAsia="zh-TW"/>
        </w:rPr>
        <w:t>）特定资格条件</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en-US" w:eastAsia="zh-CN"/>
        </w:rPr>
        <w:t>①</w:t>
      </w:r>
      <w:r>
        <w:rPr>
          <w:rStyle w:val="12"/>
          <w:rFonts w:hint="eastAsia" w:ascii="方正仿宋_GBK" w:hAnsi="方正仿宋_GBK" w:eastAsia="方正仿宋_GBK" w:cs="方正仿宋_GBK"/>
          <w:color w:val="auto"/>
          <w:kern w:val="2"/>
          <w:sz w:val="30"/>
          <w:szCs w:val="30"/>
          <w:highlight w:val="none"/>
          <w:u w:val="none" w:color="000000"/>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②若所投产品属于第二类或第三类医疗器械的，应提供中国境内合法的《医疗器械注册证》。</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③若所投产品属于药品的，应提供《药品经营许可证》</w:t>
      </w:r>
      <w:r>
        <w:rPr>
          <w:rStyle w:val="12"/>
          <w:rFonts w:hint="eastAsia" w:ascii="方正仿宋_GBK" w:hAnsi="方正仿宋_GBK" w:eastAsia="方正仿宋_GBK" w:cs="方正仿宋_GBK"/>
          <w:color w:val="auto"/>
          <w:kern w:val="2"/>
          <w:sz w:val="30"/>
          <w:szCs w:val="30"/>
          <w:highlight w:val="none"/>
          <w:u w:val="none" w:color="000000"/>
          <w:lang w:val="zh-TW" w:eastAsia="zh-CN"/>
        </w:rPr>
        <w:t>。</w:t>
      </w:r>
    </w:p>
    <w:p>
      <w:pPr>
        <w:numPr>
          <w:ilvl w:val="0"/>
          <w:numId w:val="0"/>
        </w:num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en-US"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w:t>
      </w:r>
      <w:r>
        <w:rPr>
          <w:rStyle w:val="12"/>
          <w:rFonts w:hint="eastAsia" w:ascii="方正仿宋_GBK" w:hAnsi="方正仿宋_GBK" w:eastAsia="方正仿宋_GBK" w:cs="方正仿宋_GBK"/>
          <w:color w:val="auto"/>
          <w:kern w:val="2"/>
          <w:sz w:val="30"/>
          <w:szCs w:val="30"/>
          <w:highlight w:val="none"/>
          <w:u w:val="none" w:color="000000"/>
          <w:lang w:val="en-US" w:eastAsia="zh-CN"/>
        </w:rPr>
        <w:t>冷链运输产品，应提供冷链运输资质或合作供应商合同。</w:t>
      </w:r>
    </w:p>
    <w:p>
      <w:pPr>
        <w:numPr>
          <w:ilvl w:val="0"/>
          <w:numId w:val="0"/>
        </w:numPr>
        <w:snapToGrid w:val="0"/>
        <w:spacing w:line="400" w:lineRule="exact"/>
        <w:ind w:firstLine="600" w:firstLineChars="200"/>
        <w:rPr>
          <w:rStyle w:val="12"/>
          <w:rFonts w:hint="default" w:ascii="方正仿宋_GBK" w:hAnsi="方正仿宋_GBK" w:eastAsia="方正仿宋_GBK" w:cs="方正仿宋_GBK"/>
          <w:color w:val="auto"/>
          <w:kern w:val="2"/>
          <w:sz w:val="30"/>
          <w:szCs w:val="30"/>
          <w:highlight w:val="none"/>
          <w:u w:val="none" w:color="000000"/>
          <w:lang w:val="en-US"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w:t>
      </w:r>
      <w:r>
        <w:rPr>
          <w:rStyle w:val="12"/>
          <w:rFonts w:hint="eastAsia" w:ascii="方正仿宋_GBK" w:hAnsi="方正仿宋_GBK" w:eastAsia="方正仿宋_GBK" w:cs="方正仿宋_GBK"/>
          <w:color w:val="auto"/>
          <w:kern w:val="2"/>
          <w:sz w:val="30"/>
          <w:szCs w:val="30"/>
          <w:highlight w:val="none"/>
          <w:u w:val="none" w:color="000000"/>
          <w:shd w:val="clear" w:fill="FFFF00"/>
          <w:lang w:val="en-US" w:eastAsia="zh-CN"/>
        </w:rPr>
        <w:t>具有药交所会员资质。</w:t>
      </w:r>
    </w:p>
    <w:p>
      <w:pPr>
        <w:pStyle w:val="3"/>
        <w:keepNext w:val="0"/>
        <w:keepLines w:val="0"/>
        <w:pageBreakBefore w:val="0"/>
        <w:widowControl w:val="0"/>
        <w:kinsoku/>
        <w:wordWrap/>
        <w:overflowPunct/>
        <w:topLinePunct w:val="0"/>
        <w:autoSpaceDE/>
        <w:autoSpaceDN/>
        <w:bidi w:val="0"/>
        <w:spacing w:line="440" w:lineRule="exact"/>
        <w:textAlignment w:val="auto"/>
        <w:outlineLvl w:val="9"/>
        <w:rPr>
          <w:rFonts w:hint="eastAsia" w:ascii="方正仿宋_GBK" w:hAnsi="方正仿宋_GBK" w:eastAsia="方正仿宋_GBK" w:cs="方正仿宋_GBK"/>
          <w:b/>
          <w:kern w:val="2"/>
          <w:sz w:val="30"/>
          <w:szCs w:val="30"/>
          <w:highlight w:val="none"/>
          <w:lang w:val="en-US" w:eastAsia="zh-CN" w:bidi="ar-SA"/>
        </w:rPr>
      </w:pPr>
      <w:r>
        <w:rPr>
          <w:rFonts w:hint="eastAsia" w:ascii="方正仿宋_GBK" w:hAnsi="方正仿宋_GBK" w:eastAsia="方正仿宋_GBK" w:cs="方正仿宋_GBK"/>
          <w:b/>
          <w:kern w:val="2"/>
          <w:sz w:val="30"/>
          <w:szCs w:val="30"/>
          <w:highlight w:val="none"/>
          <w:lang w:val="en-US" w:eastAsia="zh-CN" w:bidi="ar-SA"/>
        </w:rPr>
        <w:t>3.投标保证金及管理要求：</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（1）供应商报名前须向采购人缴纳投标保证金1000元，形式可为现金、支票、汇款、银行保函等。供应商应在投标时间内将报名表和投标保证金缴纳凭证发到采购办邮箱视为报名成功，未报名不接受其响应资料。</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（2）现金及转账方式：现金在新院区行政楼2楼226办公室缴纳，汇款账号信息（收款单位重庆市璧山区财政局；开户银行：农商行璧山支行；账号：2101 0101 2001 0000 0143 0800 3）。</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（3）退还管理：评标结果公示后退还未中选供应商投标保证金，中选供应商在完成合同签订后退还。</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(4)不予退还投标保证金的情形。投标有效期内撤回投标响应文件或不递交投标响应文件；中选后未在规定期限内签订合同；投标人提供虚假资料；投标人明显围标行为；以上情况将同时按照医院供应商不良执业记录进行管理。</w:t>
      </w:r>
    </w:p>
    <w:p>
      <w:pPr>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b/>
          <w:sz w:val="30"/>
          <w:szCs w:val="30"/>
          <w:highlight w:val="none"/>
          <w:lang w:val="en-US" w:eastAsia="zh-CN"/>
        </w:rPr>
        <w:t>4.履约保证金及管理要求：</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yellow"/>
          <w:lang w:val="en-US" w:eastAsia="zh-CN"/>
        </w:rPr>
      </w:pPr>
      <w:r>
        <w:rPr>
          <w:rFonts w:hint="eastAsia" w:ascii="方正仿宋_GBK" w:hAnsi="方正仿宋_GBK" w:eastAsia="方正仿宋_GBK" w:cs="方正仿宋_GBK"/>
          <w:kern w:val="2"/>
          <w:sz w:val="30"/>
          <w:szCs w:val="30"/>
          <w:highlight w:val="none"/>
          <w:lang w:val="en-US" w:eastAsia="zh-CN" w:bidi="ar-SA"/>
        </w:rPr>
        <w:t>在合同签订前，成交供应商向采购人缴纳项目履约保证金20000元（形式可为现金、支票、汇款、银行保函等）。</w:t>
      </w:r>
      <w:r>
        <w:rPr>
          <w:rFonts w:hint="eastAsia" w:ascii="方正仿宋_GBK" w:hAnsi="方正仿宋_GBK" w:eastAsia="方正仿宋_GBK" w:cs="方正仿宋_GBK"/>
          <w:color w:val="auto"/>
          <w:sz w:val="30"/>
          <w:szCs w:val="30"/>
          <w:highlight w:val="yellow"/>
          <w:lang w:val="en-US" w:eastAsia="zh-CN"/>
        </w:rPr>
        <w:t>履约保障金将用于约束供应商保障长期供应、及时供应、产品质量、药交所最低价或重庆地区线上备案最低价、投标行为无围标串标、履约期间无廉洁违纪行为、</w:t>
      </w:r>
      <w:r>
        <w:rPr>
          <w:rFonts w:hint="eastAsia" w:ascii="方正仿宋_GBK" w:hAnsi="方正仿宋_GBK" w:eastAsia="方正仿宋_GBK" w:cs="方正仿宋_GBK"/>
          <w:sz w:val="30"/>
          <w:szCs w:val="30"/>
          <w:highlight w:val="yellow"/>
          <w:lang w:val="en-US" w:eastAsia="zh-CN"/>
        </w:rPr>
        <w:t>成交供应商遵守医院规章制度，否则采购人将不予退还履约保障金。供应商产品质量引起的医疗纠纷由供应商先行垫付鉴定费用（如供应商不垫付将优先使用履约保证金支付鉴定费），待鉴定结果依法依规处理。供应商无上述行为，合同期满将一次性无息退还；供应商如有上述行为，</w:t>
      </w:r>
      <w:r>
        <w:rPr>
          <w:rFonts w:hint="eastAsia" w:ascii="方正仿宋_GBK" w:hAnsi="方正仿宋_GBK" w:eastAsia="方正仿宋_GBK" w:cs="方正仿宋_GBK"/>
          <w:kern w:val="2"/>
          <w:sz w:val="30"/>
          <w:szCs w:val="30"/>
          <w:highlight w:val="yellow"/>
          <w:lang w:val="en-US" w:eastAsia="zh-CN" w:bidi="ar-SA"/>
        </w:rPr>
        <w:t>将纳入采购人供应商不良执业记录进行管理。</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sz w:val="30"/>
          <w:szCs w:val="30"/>
          <w:highlight w:val="yellow"/>
          <w:lang w:val="en-US" w:eastAsia="zh-CN"/>
        </w:rPr>
        <w:t>不良事件管理，发生不良事件后供应商应24小时来院协助调查，评估不良事件与产品有无直接关联，对可能影响患者安全的应及时发出停止使用通知；一年内发生2次产品相同不良事件，采购人将委托第三方机构对产品进行安全性评估或司法鉴定，费用由供应商承担，评估鉴定结果出来前停止使用该产品，待结果排除产品质量缺陷且完成整改后方能继续使用。不良事件造成患者损害且与产品质量相关的，供应商应承担赔偿责任。</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5.</w:t>
      </w:r>
      <w:r>
        <w:rPr>
          <w:rFonts w:hint="eastAsia" w:ascii="方正仿宋_GBK" w:hAnsi="方正仿宋_GBK" w:eastAsia="方正仿宋_GBK" w:cs="方正仿宋_GBK"/>
          <w:b/>
          <w:sz w:val="30"/>
          <w:szCs w:val="30"/>
          <w:highlight w:val="none"/>
        </w:rPr>
        <w:t>交货地点：</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Cs/>
          <w:sz w:val="30"/>
          <w:szCs w:val="30"/>
          <w:highlight w:val="none"/>
          <w:lang w:val="en-US" w:eastAsia="zh-CN"/>
        </w:rPr>
        <w:t>采购人</w:t>
      </w:r>
      <w:r>
        <w:rPr>
          <w:rFonts w:hint="eastAsia" w:ascii="方正仿宋_GBK" w:hAnsi="方正仿宋_GBK" w:eastAsia="方正仿宋_GBK" w:cs="方正仿宋_GBK"/>
          <w:sz w:val="30"/>
          <w:szCs w:val="30"/>
          <w:highlight w:val="none"/>
        </w:rPr>
        <w:t>指定位置。</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6.合同及</w:t>
      </w:r>
      <w:r>
        <w:rPr>
          <w:rFonts w:hint="eastAsia" w:ascii="方正仿宋_GBK" w:hAnsi="方正仿宋_GBK" w:eastAsia="方正仿宋_GBK" w:cs="方正仿宋_GBK"/>
          <w:b/>
          <w:sz w:val="30"/>
          <w:szCs w:val="30"/>
          <w:highlight w:val="none"/>
        </w:rPr>
        <w:t>供货</w:t>
      </w:r>
      <w:r>
        <w:rPr>
          <w:rFonts w:hint="eastAsia" w:ascii="方正仿宋_GBK" w:hAnsi="方正仿宋_GBK" w:eastAsia="方正仿宋_GBK" w:cs="方正仿宋_GBK"/>
          <w:b/>
          <w:sz w:val="30"/>
          <w:szCs w:val="30"/>
          <w:highlight w:val="none"/>
          <w:lang w:val="en-US" w:eastAsia="zh-CN"/>
        </w:rPr>
        <w:t>要求</w:t>
      </w:r>
      <w:r>
        <w:rPr>
          <w:rFonts w:hint="eastAsia" w:ascii="方正仿宋_GBK" w:hAnsi="方正仿宋_GBK" w:eastAsia="方正仿宋_GBK" w:cs="方正仿宋_GBK"/>
          <w:b/>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合同签订前，采购人此前未使用的产品有权要求拟成交供应商提供部分样品进行试用，根据临床科室试用意见确定成交供应商。本项目</w:t>
      </w:r>
      <w:r>
        <w:rPr>
          <w:rFonts w:hint="eastAsia" w:ascii="方正仿宋_GBK" w:hAnsi="方正仿宋_GBK" w:eastAsia="方正仿宋_GBK" w:cs="方正仿宋_GBK"/>
          <w:sz w:val="30"/>
          <w:szCs w:val="30"/>
          <w:highlight w:val="none"/>
        </w:rPr>
        <w:t>合同</w:t>
      </w:r>
      <w:r>
        <w:rPr>
          <w:rFonts w:hint="eastAsia" w:ascii="方正仿宋_GBK" w:hAnsi="方正仿宋_GBK" w:eastAsia="方正仿宋_GBK" w:cs="方正仿宋_GBK"/>
          <w:sz w:val="30"/>
          <w:szCs w:val="30"/>
          <w:highlight w:val="none"/>
          <w:lang w:val="en-US" w:eastAsia="zh-CN"/>
        </w:rPr>
        <w:t>期限</w:t>
      </w:r>
      <w:r>
        <w:rPr>
          <w:rFonts w:hint="eastAsia" w:ascii="方正仿宋_GBK" w:hAnsi="方正仿宋_GBK" w:eastAsia="方正仿宋_GBK" w:cs="方正仿宋_GBK"/>
          <w:sz w:val="30"/>
          <w:szCs w:val="30"/>
          <w:highlight w:val="none"/>
        </w:rPr>
        <w:t>3年</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签订合同后，根据</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要求按批次进行供货。</w:t>
      </w:r>
      <w:r>
        <w:rPr>
          <w:rFonts w:hint="eastAsia" w:ascii="方正仿宋_GBK" w:hAnsi="方正仿宋_GBK" w:eastAsia="方正仿宋_GBK" w:cs="方正仿宋_GBK"/>
          <w:color w:val="auto"/>
          <w:sz w:val="30"/>
          <w:szCs w:val="30"/>
          <w:highlight w:val="none"/>
          <w:lang w:val="en-US" w:eastAsia="zh-CN"/>
        </w:rPr>
        <w:t>接到</w:t>
      </w:r>
      <w:r>
        <w:rPr>
          <w:rFonts w:hint="eastAsia" w:ascii="方正仿宋_GBK" w:hAnsi="方正仿宋_GBK" w:eastAsia="方正仿宋_GBK" w:cs="方正仿宋_GBK"/>
          <w:color w:val="auto"/>
          <w:sz w:val="30"/>
          <w:szCs w:val="30"/>
          <w:highlight w:val="none"/>
          <w:lang w:eastAsia="zh-CN"/>
        </w:rPr>
        <w:t>招标人的送货通知</w:t>
      </w:r>
      <w:r>
        <w:rPr>
          <w:rFonts w:hint="eastAsia" w:ascii="方正仿宋_GBK" w:hAnsi="方正仿宋_GBK" w:eastAsia="方正仿宋_GBK" w:cs="方正仿宋_GBK"/>
          <w:color w:val="auto"/>
          <w:sz w:val="30"/>
          <w:szCs w:val="30"/>
          <w:highlight w:val="none"/>
          <w:lang w:val="en-US" w:eastAsia="zh-CN"/>
        </w:rPr>
        <w:t>48</w:t>
      </w:r>
      <w:r>
        <w:rPr>
          <w:rFonts w:hint="eastAsia" w:ascii="方正仿宋_GBK" w:hAnsi="方正仿宋_GBK" w:eastAsia="方正仿宋_GBK" w:cs="方正仿宋_GBK"/>
          <w:color w:val="auto"/>
          <w:sz w:val="30"/>
          <w:szCs w:val="30"/>
          <w:highlight w:val="none"/>
          <w:lang w:eastAsia="zh-CN"/>
        </w:rPr>
        <w:t>小时之内将货物送到医院</w:t>
      </w:r>
      <w:r>
        <w:rPr>
          <w:rFonts w:hint="eastAsia" w:ascii="方正仿宋_GBK" w:hAnsi="方正仿宋_GBK" w:eastAsia="方正仿宋_GBK" w:cs="方正仿宋_GBK"/>
          <w:color w:val="auto"/>
          <w:sz w:val="30"/>
          <w:szCs w:val="30"/>
          <w:highlight w:val="none"/>
          <w:lang w:val="en-US" w:eastAsia="zh-CN"/>
        </w:rPr>
        <w:t>指定</w:t>
      </w:r>
      <w:r>
        <w:rPr>
          <w:rFonts w:hint="eastAsia" w:ascii="方正仿宋_GBK" w:hAnsi="方正仿宋_GBK" w:eastAsia="方正仿宋_GBK" w:cs="方正仿宋_GBK"/>
          <w:color w:val="auto"/>
          <w:sz w:val="30"/>
          <w:szCs w:val="30"/>
          <w:highlight w:val="none"/>
          <w:lang w:eastAsia="zh-CN"/>
        </w:rPr>
        <w:t>地点，</w:t>
      </w:r>
      <w:r>
        <w:rPr>
          <w:rFonts w:hint="eastAsia" w:ascii="方正仿宋_GBK" w:hAnsi="方正仿宋_GBK" w:eastAsia="方正仿宋_GBK" w:cs="方正仿宋_GBK"/>
          <w:color w:val="auto"/>
          <w:sz w:val="30"/>
          <w:szCs w:val="30"/>
          <w:highlight w:val="none"/>
          <w:lang w:val="en-US" w:eastAsia="zh-CN"/>
        </w:rPr>
        <w:t>紧急情况下24小时配送，并</w:t>
      </w:r>
      <w:r>
        <w:rPr>
          <w:rFonts w:hint="eastAsia" w:ascii="方正仿宋_GBK" w:hAnsi="方正仿宋_GBK" w:eastAsia="方正仿宋_GBK" w:cs="方正仿宋_GBK"/>
          <w:color w:val="auto"/>
          <w:sz w:val="30"/>
          <w:szCs w:val="30"/>
          <w:highlight w:val="none"/>
          <w:lang w:eastAsia="zh-CN"/>
        </w:rPr>
        <w:t>配合招标人做好验收入库手续，所供每批产品必须出具送货清单及检验报告或</w:t>
      </w:r>
      <w:r>
        <w:rPr>
          <w:rFonts w:hint="eastAsia" w:ascii="方正仿宋_GBK" w:hAnsi="方正仿宋_GBK" w:eastAsia="方正仿宋_GBK" w:cs="方正仿宋_GBK"/>
          <w:color w:val="auto"/>
          <w:sz w:val="30"/>
          <w:szCs w:val="30"/>
          <w:highlight w:val="none"/>
          <w:lang w:val="en-US" w:eastAsia="zh-CN"/>
        </w:rPr>
        <w:t>冷链运输记录</w:t>
      </w:r>
      <w:r>
        <w:rPr>
          <w:rFonts w:hint="eastAsia" w:ascii="方正仿宋_GBK" w:hAnsi="方正仿宋_GBK" w:eastAsia="方正仿宋_GBK" w:cs="方正仿宋_GBK"/>
          <w:color w:val="auto"/>
          <w:sz w:val="30"/>
          <w:szCs w:val="30"/>
          <w:highlight w:val="none"/>
          <w:lang w:eastAsia="zh-CN"/>
        </w:rPr>
        <w:t>，送货清单要求项目齐全，货单一致，并随货同行，否则不予以验收入库；验收合格入库之后开具正规发票，并承担配送所产生的一切费用。发票类型：增值税普通发票。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
          <w:sz w:val="30"/>
          <w:szCs w:val="30"/>
          <w:highlight w:val="none"/>
          <w:lang w:val="en-US" w:eastAsia="zh-CN"/>
        </w:rPr>
        <w:t>7.</w:t>
      </w:r>
      <w:r>
        <w:rPr>
          <w:rFonts w:hint="eastAsia" w:ascii="方正仿宋_GBK" w:hAnsi="方正仿宋_GBK" w:eastAsia="方正仿宋_GBK" w:cs="方正仿宋_GBK"/>
          <w:b/>
          <w:sz w:val="30"/>
          <w:szCs w:val="30"/>
          <w:highlight w:val="none"/>
        </w:rPr>
        <w:t>验收方式：</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（1）货物到达现场后，成交供应商应在使用单位人员在场情况下当面开箱，共同清点、检查外观，按照国家及行业相关标准验收，双方签字确认。</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（2）成交供应商应保证货物到达采购人所在地完好无损，如有遗漏、损坏，由成交供应商负责调换、补齐或赔偿。</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（3）成交供应商应根据国家相关文件要求提供产品合格证明及批次检测报告的资料。</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（4）成交供应商提供的货物未达到招标文件规定要求，且对招标人造成损失的，由成交供应商承担一切责任，并赔偿所造成的损失。</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（5）招标人需要制造商对成交供应商交付的产品（包括质量、技术参数等）进行确认的，制造商应予以配合，并出具书面意见。</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（6）产品包装材料归招标人所有。</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bCs/>
          <w:color w:val="auto"/>
          <w:sz w:val="30"/>
          <w:szCs w:val="30"/>
          <w:highlight w:val="none"/>
          <w:lang w:eastAsia="zh-CN"/>
        </w:rPr>
      </w:pPr>
      <w:r>
        <w:rPr>
          <w:rFonts w:hint="eastAsia" w:ascii="方正仿宋_GBK" w:hAnsi="方正仿宋_GBK" w:eastAsia="方正仿宋_GBK" w:cs="方正仿宋_GBK"/>
          <w:b/>
          <w:bCs/>
          <w:color w:val="auto"/>
          <w:sz w:val="30"/>
          <w:szCs w:val="30"/>
          <w:highlight w:val="none"/>
          <w:lang w:val="en-US" w:eastAsia="zh-CN"/>
        </w:rPr>
        <w:t>8.</w:t>
      </w:r>
      <w:r>
        <w:rPr>
          <w:rFonts w:hint="eastAsia" w:ascii="方正仿宋_GBK" w:hAnsi="方正仿宋_GBK" w:eastAsia="方正仿宋_GBK" w:cs="方正仿宋_GBK"/>
          <w:b/>
          <w:bCs/>
          <w:color w:val="auto"/>
          <w:sz w:val="30"/>
          <w:szCs w:val="30"/>
          <w:highlight w:val="none"/>
          <w:lang w:eastAsia="zh-CN"/>
        </w:rPr>
        <w:t>售后服务：</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（1）</w:t>
      </w:r>
      <w:r>
        <w:rPr>
          <w:rFonts w:hint="eastAsia" w:ascii="方正仿宋_GBK" w:hAnsi="方正仿宋_GBK" w:eastAsia="方正仿宋_GBK" w:cs="方正仿宋_GBK"/>
          <w:color w:val="auto"/>
          <w:sz w:val="30"/>
          <w:szCs w:val="30"/>
          <w:highlight w:val="none"/>
          <w:lang w:eastAsia="zh-CN"/>
        </w:rPr>
        <w:t>产品质量保证期</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①竞标</w:t>
      </w:r>
      <w:r>
        <w:rPr>
          <w:rFonts w:hint="eastAsia" w:ascii="方正仿宋_GBK" w:hAnsi="方正仿宋_GBK" w:eastAsia="方正仿宋_GBK" w:cs="方正仿宋_GBK"/>
          <w:color w:val="auto"/>
          <w:sz w:val="30"/>
          <w:szCs w:val="30"/>
          <w:highlight w:val="none"/>
          <w:lang w:eastAsia="zh-CN"/>
        </w:rPr>
        <w:t>产品属于国家规定“三包”范围的，其产品质量保证期不得低于“三包”规定。</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②投标</w:t>
      </w:r>
      <w:r>
        <w:rPr>
          <w:rFonts w:hint="eastAsia" w:ascii="方正仿宋_GBK" w:hAnsi="方正仿宋_GBK" w:eastAsia="方正仿宋_GBK" w:cs="方正仿宋_GBK"/>
          <w:color w:val="auto"/>
          <w:sz w:val="30"/>
          <w:szCs w:val="30"/>
          <w:highlight w:val="none"/>
          <w:lang w:eastAsia="zh-CN"/>
        </w:rPr>
        <w:t>人的质量保证期承诺优于国家“三包”规定的，按</w:t>
      </w:r>
      <w:r>
        <w:rPr>
          <w:rFonts w:hint="eastAsia" w:ascii="方正仿宋_GBK" w:hAnsi="方正仿宋_GBK" w:eastAsia="方正仿宋_GBK" w:cs="方正仿宋_GBK"/>
          <w:color w:val="auto"/>
          <w:sz w:val="30"/>
          <w:szCs w:val="30"/>
          <w:highlight w:val="none"/>
          <w:lang w:val="en-US" w:eastAsia="zh-CN"/>
        </w:rPr>
        <w:t>投标</w:t>
      </w:r>
      <w:r>
        <w:rPr>
          <w:rFonts w:hint="eastAsia" w:ascii="方正仿宋_GBK" w:hAnsi="方正仿宋_GBK" w:eastAsia="方正仿宋_GBK" w:cs="方正仿宋_GBK"/>
          <w:color w:val="auto"/>
          <w:sz w:val="30"/>
          <w:szCs w:val="30"/>
          <w:highlight w:val="none"/>
          <w:lang w:eastAsia="zh-CN"/>
        </w:rPr>
        <w:t>人实际承诺执行。</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③竞标</w:t>
      </w:r>
      <w:r>
        <w:rPr>
          <w:rFonts w:hint="eastAsia" w:ascii="方正仿宋_GBK" w:hAnsi="方正仿宋_GBK" w:eastAsia="方正仿宋_GBK" w:cs="方正仿宋_GBK"/>
          <w:color w:val="auto"/>
          <w:sz w:val="30"/>
          <w:szCs w:val="30"/>
          <w:highlight w:val="none"/>
          <w:lang w:eastAsia="zh-CN"/>
        </w:rPr>
        <w:t>产品由制造商（指产品生产制造商，或其负责销售、售后服务机构，以下同）负责标准售后服务的，应当在投标响应文件中予以明确说明,并附制造商售后服务承诺。</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（2）有效期管理</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送院耗材为一年内生产且剩余有效期不得少于总效期的2/3，有效期内若出现破损、变质、发霉、异物等质量问题，投标人应无条件更换；有效期剩余30天内的产品，投标人应无条件免费更换。因产品质量问题导致医疗纠纷的赔偿、行政处罚等由投标人承担并先行垫付。</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3</w:t>
      </w:r>
      <w:r>
        <w:rPr>
          <w:rFonts w:hint="eastAsia" w:ascii="方正仿宋_GBK" w:hAnsi="方正仿宋_GBK" w:eastAsia="方正仿宋_GBK" w:cs="方正仿宋_GBK"/>
          <w:color w:val="auto"/>
          <w:sz w:val="30"/>
          <w:szCs w:val="30"/>
          <w:highlight w:val="none"/>
          <w:lang w:eastAsia="zh-CN"/>
        </w:rPr>
        <w:t>）售后服务内容</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eastAsia="zh-CN"/>
        </w:rPr>
        <w:t>质保期内，在接到用户</w:t>
      </w:r>
      <w:r>
        <w:rPr>
          <w:rFonts w:hint="eastAsia" w:ascii="方正仿宋_GBK" w:hAnsi="方正仿宋_GBK" w:eastAsia="方正仿宋_GBK" w:cs="方正仿宋_GBK"/>
          <w:color w:val="auto"/>
          <w:sz w:val="30"/>
          <w:szCs w:val="30"/>
          <w:highlight w:val="none"/>
          <w:lang w:val="en-US" w:eastAsia="zh-CN"/>
        </w:rPr>
        <w:t>询问后</w:t>
      </w:r>
      <w:r>
        <w:rPr>
          <w:rFonts w:hint="eastAsia" w:ascii="方正仿宋_GBK" w:hAnsi="方正仿宋_GBK" w:eastAsia="方正仿宋_GBK" w:cs="方正仿宋_GBK"/>
          <w:color w:val="auto"/>
          <w:sz w:val="30"/>
          <w:szCs w:val="30"/>
          <w:highlight w:val="none"/>
          <w:lang w:eastAsia="zh-CN"/>
        </w:rPr>
        <w:t>应立即给予答复，</w:t>
      </w:r>
      <w:r>
        <w:rPr>
          <w:rFonts w:hint="eastAsia" w:ascii="方正仿宋_GBK" w:hAnsi="方正仿宋_GBK" w:eastAsia="方正仿宋_GBK" w:cs="方正仿宋_GBK"/>
          <w:color w:val="auto"/>
          <w:sz w:val="30"/>
          <w:szCs w:val="30"/>
          <w:highlight w:val="none"/>
          <w:lang w:val="en-US" w:eastAsia="zh-CN"/>
        </w:rPr>
        <w:t>必要时</w:t>
      </w:r>
      <w:r>
        <w:rPr>
          <w:rFonts w:hint="eastAsia" w:ascii="方正仿宋_GBK" w:hAnsi="方正仿宋_GBK" w:eastAsia="方正仿宋_GBK" w:cs="方正仿宋_GBK"/>
          <w:color w:val="auto"/>
          <w:sz w:val="30"/>
          <w:szCs w:val="30"/>
          <w:highlight w:val="none"/>
          <w:lang w:eastAsia="zh-CN"/>
        </w:rPr>
        <w:t>派</w:t>
      </w:r>
      <w:r>
        <w:rPr>
          <w:rFonts w:hint="eastAsia" w:ascii="方正仿宋_GBK" w:hAnsi="方正仿宋_GBK" w:eastAsia="方正仿宋_GBK" w:cs="方正仿宋_GBK"/>
          <w:color w:val="auto"/>
          <w:sz w:val="30"/>
          <w:szCs w:val="30"/>
          <w:highlight w:val="none"/>
          <w:lang w:val="en-US" w:eastAsia="zh-CN"/>
        </w:rPr>
        <w:t>相应工作人员8</w:t>
      </w:r>
      <w:r>
        <w:rPr>
          <w:rFonts w:hint="eastAsia" w:ascii="方正仿宋_GBK" w:hAnsi="方正仿宋_GBK" w:eastAsia="方正仿宋_GBK" w:cs="方正仿宋_GBK"/>
          <w:color w:val="auto"/>
          <w:sz w:val="30"/>
          <w:szCs w:val="30"/>
          <w:highlight w:val="none"/>
          <w:lang w:eastAsia="zh-CN"/>
        </w:rPr>
        <w:t>小时内到达用户现场进行</w:t>
      </w:r>
      <w:r>
        <w:rPr>
          <w:rFonts w:hint="eastAsia" w:ascii="方正仿宋_GBK" w:hAnsi="方正仿宋_GBK" w:eastAsia="方正仿宋_GBK" w:cs="方正仿宋_GBK"/>
          <w:color w:val="auto"/>
          <w:sz w:val="30"/>
          <w:szCs w:val="30"/>
          <w:highlight w:val="none"/>
          <w:lang w:val="en-US" w:eastAsia="zh-CN"/>
        </w:rPr>
        <w:t>现场处理</w:t>
      </w:r>
      <w:r>
        <w:rPr>
          <w:rFonts w:hint="eastAsia" w:ascii="方正仿宋_GBK" w:hAnsi="方正仿宋_GBK" w:eastAsia="方正仿宋_GBK" w:cs="方正仿宋_GBK"/>
          <w:color w:val="auto"/>
          <w:sz w:val="30"/>
          <w:szCs w:val="30"/>
          <w:highlight w:val="none"/>
          <w:lang w:eastAsia="zh-CN"/>
        </w:rPr>
        <w:t>。</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②药交所线上最低价调整或</w:t>
      </w:r>
      <w:r>
        <w:rPr>
          <w:rFonts w:hint="eastAsia" w:ascii="方正仿宋_GBK" w:hAnsi="方正仿宋_GBK" w:eastAsia="方正仿宋_GBK" w:cs="方正仿宋_GBK"/>
          <w:sz w:val="30"/>
          <w:szCs w:val="30"/>
          <w:highlight w:val="none"/>
          <w:lang w:val="en-US" w:eastAsia="zh-CN"/>
        </w:rPr>
        <w:t>全市其他医疗机构线下采购产品价格下调应一周内书面通知采购人，按下调的价格结算单价合同。</w:t>
      </w:r>
    </w:p>
    <w:p>
      <w:pPr>
        <w:pageBreakBefore w:val="0"/>
        <w:kinsoku/>
        <w:wordWrap/>
        <w:overflowPunct/>
        <w:topLinePunct w:val="0"/>
        <w:autoSpaceDE/>
        <w:autoSpaceDN/>
        <w:bidi w:val="0"/>
        <w:adjustRightInd/>
        <w:snapToGrid w:val="0"/>
        <w:spacing w:line="400" w:lineRule="exact"/>
        <w:rPr>
          <w:rFonts w:hint="eastAsia" w:ascii="方正仿宋_GBK" w:hAnsi="方正仿宋_GBK" w:eastAsia="方正仿宋_GBK" w:cs="方正仿宋_GBK"/>
          <w:b/>
          <w:bCs/>
          <w:color w:val="auto"/>
          <w:sz w:val="30"/>
          <w:szCs w:val="30"/>
          <w:highlight w:val="none"/>
          <w:lang w:val="en-US" w:eastAsia="zh-CN"/>
        </w:rPr>
      </w:pPr>
      <w:r>
        <w:rPr>
          <w:rFonts w:hint="eastAsia" w:ascii="方正仿宋_GBK" w:hAnsi="方正仿宋_GBK" w:eastAsia="方正仿宋_GBK" w:cs="方正仿宋_GBK"/>
          <w:b/>
          <w:bCs/>
          <w:color w:val="auto"/>
          <w:sz w:val="30"/>
          <w:szCs w:val="30"/>
          <w:highlight w:val="none"/>
          <w:lang w:val="en-US" w:eastAsia="zh-CN"/>
        </w:rPr>
        <w:t>9.违约责任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供应商未按照采购人要求时限送货的，发生一次扣罚违约金2000元，每增加一次的违约金是上次违约金基础的2倍;发生与产品质量相关的不良事件，除免费更换全批次产品外，每次扣罚产品金额两倍的违约金，违约金最低不少于 1000 元,产品质量争议采购人有权要求供应商承担第三方对争议产品的司法鉴定费用;违反最低价成交价承诺，如药交所最低成交价降价未在1周内书面通知，将承担违约金50000元，并按照最低成交价开始日期进行倒结算;</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出现下列情况之一的,甲方有权拒绝支付应付货款,并有权单方解除合同:①供应商所供设备出现技术和质量问题，未无条件更换同品牌、同规格、同型号产品和提出整改措施，或整改效果不达标的;②供应商提供虚假书面材料的(如:资质文件、合格证明等):③供应商未遵守《廉洁购销合同》相关条款的;④合同有效期内,未经采购人同意,供应商擅自变更公司名称或擅自停止供货的:⑤供应商相关资质文件未处于有效期内的(如:营业执照、许可证、授权委托书等):⑥供应商所供产品与本合同约定或响应文件载明内容不一致的；</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7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⑦</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一个年度供应商连续发生5次违约行为；</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8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⑧</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供应商及其产品发生泄漏医院数据及患者隐私事件，采购人有权解除合同并要求供应商返还已支付款项并承担合同金额1倍的违约金;</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9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⑨</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使用中发现供应商提供的产品有质量或安全问题供应商未立即整改，采购人有权解除合同并要求供应商承担项目金额2倍违约金;</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10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⑩</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供应商交付前明知存在缺陷仍继续交付或交付后知晓缺陷未及时通知采购人并整改，采购人有权解除合同并要求供应商承担项目金额3倍违约金:因供应商违约等原因导致采购人解除合同的，没有特殊约定的采购人有权要求供应商承担不低于合同结算总金额30%的违约金，有特殊约定的按照特殊约定执行。</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3.因供应商及其产品原因导致采购人损失的，应赔偿对采购人造成的直接和间接损失全额损失。</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4.合同履行期间发生争议，协商无果由重庆市璧山区人民法院裁决。</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146"/>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三</w:t>
      </w:r>
      <w:r>
        <w:rPr>
          <w:rFonts w:hint="eastAsia" w:ascii="方正仿宋_GBK" w:hAnsi="方正仿宋_GBK" w:eastAsia="方正仿宋_GBK" w:cs="方正仿宋_GBK"/>
          <w:b/>
          <w:sz w:val="30"/>
          <w:szCs w:val="30"/>
          <w:highlight w:val="none"/>
        </w:rPr>
        <w:t>、付款方式</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51" w:firstLineChars="217"/>
        <w:textAlignment w:val="auto"/>
        <w:outlineLvl w:val="9"/>
        <w:rPr>
          <w:rFonts w:hint="eastAsia" w:ascii="方正仿宋_GBK" w:hAnsi="方正仿宋_GBK" w:eastAsia="方正仿宋_GBK" w:cs="方正仿宋_GBK"/>
          <w:b w:val="0"/>
          <w:bCs w:val="0"/>
          <w:color w:val="auto"/>
          <w:sz w:val="30"/>
          <w:szCs w:val="30"/>
          <w:highlight w:val="none"/>
        </w:rPr>
      </w:pPr>
      <w:r>
        <w:rPr>
          <w:rFonts w:hint="eastAsia" w:ascii="方正仿宋_GBK" w:hAnsi="方正仿宋_GBK" w:eastAsia="方正仿宋_GBK" w:cs="方正仿宋_GBK"/>
          <w:b w:val="0"/>
          <w:bCs w:val="0"/>
          <w:color w:val="auto"/>
          <w:sz w:val="30"/>
          <w:szCs w:val="30"/>
          <w:highlight w:val="none"/>
        </w:rPr>
        <w:t>1、本次耗材采购无预付款。</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b w:val="0"/>
          <w:bCs w:val="0"/>
          <w:color w:val="auto"/>
          <w:sz w:val="30"/>
          <w:szCs w:val="30"/>
          <w:highlight w:val="none"/>
        </w:rPr>
        <w:t>2、</w:t>
      </w:r>
      <w:r>
        <w:rPr>
          <w:rFonts w:hint="eastAsia" w:ascii="方正仿宋_GBK" w:hAnsi="方正仿宋_GBK" w:eastAsia="方正仿宋_GBK" w:cs="方正仿宋_GBK"/>
          <w:color w:val="auto"/>
          <w:sz w:val="30"/>
          <w:szCs w:val="30"/>
          <w:highlight w:val="none"/>
          <w:lang w:eastAsia="zh-CN"/>
        </w:rPr>
        <w:t>招标人批量订货，成交供应商送达后</w:t>
      </w:r>
      <w:r>
        <w:rPr>
          <w:rFonts w:hint="eastAsia" w:ascii="方正仿宋_GBK" w:hAnsi="方正仿宋_GBK" w:eastAsia="方正仿宋_GBK" w:cs="方正仿宋_GBK"/>
          <w:b/>
          <w:bCs/>
          <w:color w:val="auto"/>
          <w:sz w:val="30"/>
          <w:szCs w:val="30"/>
          <w:highlight w:val="none"/>
          <w:lang w:eastAsia="zh-CN"/>
        </w:rPr>
        <w:t>每</w:t>
      </w:r>
      <w:r>
        <w:rPr>
          <w:rFonts w:hint="eastAsia" w:ascii="方正仿宋_GBK" w:hAnsi="方正仿宋_GBK" w:eastAsia="方正仿宋_GBK" w:cs="方正仿宋_GBK"/>
          <w:b/>
          <w:bCs/>
          <w:color w:val="auto"/>
          <w:sz w:val="30"/>
          <w:szCs w:val="30"/>
          <w:highlight w:val="none"/>
          <w:lang w:val="en-US" w:eastAsia="zh-CN"/>
        </w:rPr>
        <w:t>半年</w:t>
      </w:r>
      <w:r>
        <w:rPr>
          <w:rFonts w:hint="eastAsia" w:ascii="方正仿宋_GBK" w:hAnsi="方正仿宋_GBK" w:eastAsia="方正仿宋_GBK" w:cs="方正仿宋_GBK"/>
          <w:color w:val="auto"/>
          <w:sz w:val="30"/>
          <w:szCs w:val="30"/>
          <w:highlight w:val="none"/>
          <w:lang w:eastAsia="zh-CN"/>
        </w:rPr>
        <w:t>根据实际</w:t>
      </w:r>
      <w:r>
        <w:rPr>
          <w:rFonts w:hint="eastAsia" w:ascii="方正仿宋_GBK" w:hAnsi="方正仿宋_GBK" w:eastAsia="方正仿宋_GBK" w:cs="方正仿宋_GBK"/>
          <w:color w:val="auto"/>
          <w:sz w:val="30"/>
          <w:szCs w:val="30"/>
          <w:highlight w:val="none"/>
          <w:lang w:val="en-US" w:eastAsia="zh-CN"/>
        </w:rPr>
        <w:t>使用情况</w:t>
      </w:r>
      <w:r>
        <w:rPr>
          <w:rFonts w:hint="eastAsia" w:ascii="方正仿宋_GBK" w:hAnsi="方正仿宋_GBK" w:eastAsia="方正仿宋_GBK" w:cs="方正仿宋_GBK"/>
          <w:color w:val="auto"/>
          <w:sz w:val="30"/>
          <w:szCs w:val="30"/>
          <w:highlight w:val="none"/>
          <w:lang w:eastAsia="zh-CN"/>
        </w:rPr>
        <w:t>开具相应金额的发票</w:t>
      </w:r>
      <w:r>
        <w:rPr>
          <w:rFonts w:hint="eastAsia" w:ascii="方正仿宋_GBK" w:hAnsi="方正仿宋_GBK" w:eastAsia="方正仿宋_GBK" w:cs="方正仿宋_GBK"/>
          <w:color w:val="auto"/>
          <w:sz w:val="30"/>
          <w:szCs w:val="30"/>
          <w:highlight w:val="none"/>
          <w:lang w:val="en-US" w:eastAsia="zh-CN"/>
        </w:rPr>
        <w:t>、送货验收单，</w:t>
      </w:r>
      <w:r>
        <w:rPr>
          <w:rFonts w:hint="eastAsia" w:ascii="方正仿宋_GBK" w:hAnsi="方正仿宋_GBK" w:eastAsia="方正仿宋_GBK" w:cs="方正仿宋_GBK"/>
          <w:color w:val="auto"/>
          <w:sz w:val="30"/>
          <w:szCs w:val="30"/>
          <w:highlight w:val="none"/>
          <w:lang w:eastAsia="zh-CN"/>
        </w:rPr>
        <w:t>招标人在收</w:t>
      </w:r>
      <w:r>
        <w:rPr>
          <w:rFonts w:hint="eastAsia" w:ascii="方正仿宋_GBK" w:hAnsi="方正仿宋_GBK" w:eastAsia="方正仿宋_GBK" w:cs="方正仿宋_GBK"/>
          <w:color w:val="auto"/>
          <w:sz w:val="30"/>
          <w:szCs w:val="30"/>
          <w:highlight w:val="none"/>
          <w:lang w:val="en-US" w:eastAsia="zh-CN"/>
        </w:rPr>
        <w:t>齐资料后进行院内付款流程。</w:t>
      </w:r>
      <w:r>
        <w:rPr>
          <w:rFonts w:hint="eastAsia" w:ascii="方正仿宋_GBK" w:hAnsi="方正仿宋_GBK" w:eastAsia="方正仿宋_GBK" w:cs="方正仿宋_GBK"/>
          <w:color w:val="auto"/>
          <w:sz w:val="30"/>
          <w:szCs w:val="30"/>
          <w:highlight w:val="none"/>
          <w:lang w:eastAsia="zh-CN"/>
        </w:rPr>
        <w:t>付款</w:t>
      </w:r>
      <w:r>
        <w:rPr>
          <w:rFonts w:hint="eastAsia" w:ascii="方正仿宋_GBK" w:hAnsi="方正仿宋_GBK" w:eastAsia="方正仿宋_GBK" w:cs="方正仿宋_GBK"/>
          <w:color w:val="auto"/>
          <w:sz w:val="30"/>
          <w:szCs w:val="30"/>
          <w:highlight w:val="none"/>
          <w:lang w:val="en-US" w:eastAsia="zh-CN"/>
        </w:rPr>
        <w:t>方式</w:t>
      </w:r>
      <w:r>
        <w:rPr>
          <w:rFonts w:hint="eastAsia" w:ascii="方正仿宋_GBK" w:hAnsi="方正仿宋_GBK" w:eastAsia="方正仿宋_GBK" w:cs="方正仿宋_GBK"/>
          <w:color w:val="auto"/>
          <w:sz w:val="30"/>
          <w:szCs w:val="30"/>
          <w:highlight w:val="none"/>
          <w:lang w:eastAsia="zh-CN"/>
        </w:rPr>
        <w:t>以银行汇</w:t>
      </w:r>
      <w:r>
        <w:rPr>
          <w:rFonts w:hint="eastAsia" w:ascii="方正仿宋_GBK" w:hAnsi="方正仿宋_GBK" w:eastAsia="方正仿宋_GBK" w:cs="方正仿宋_GBK"/>
          <w:color w:val="auto"/>
          <w:sz w:val="30"/>
          <w:szCs w:val="30"/>
          <w:highlight w:val="none"/>
          <w:lang w:val="en-US" w:eastAsia="zh-CN"/>
        </w:rPr>
        <w:t>款</w:t>
      </w:r>
      <w:r>
        <w:rPr>
          <w:rFonts w:hint="eastAsia" w:ascii="方正仿宋_GBK" w:hAnsi="方正仿宋_GBK" w:eastAsia="方正仿宋_GBK" w:cs="方正仿宋_GBK"/>
          <w:color w:val="auto"/>
          <w:sz w:val="30"/>
          <w:szCs w:val="30"/>
          <w:highlight w:val="none"/>
          <w:lang w:eastAsia="zh-CN"/>
        </w:rPr>
        <w:t>方式支付费用。</w:t>
      </w:r>
    </w:p>
    <w:p>
      <w:pPr>
        <w:keepNext w:val="0"/>
        <w:keepLines w:val="0"/>
        <w:pageBreakBefore w:val="0"/>
        <w:widowControl w:val="0"/>
        <w:kinsoku/>
        <w:wordWrap/>
        <w:overflowPunct/>
        <w:topLinePunct w:val="0"/>
        <w:autoSpaceDE/>
        <w:autoSpaceDN/>
        <w:bidi w:val="0"/>
        <w:adjustRightInd w:val="0"/>
        <w:snapToGrid w:val="0"/>
        <w:spacing w:line="440" w:lineRule="exact"/>
        <w:ind w:firstLine="443" w:firstLineChars="147"/>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四</w:t>
      </w:r>
      <w:r>
        <w:rPr>
          <w:rFonts w:hint="eastAsia" w:ascii="方正仿宋_GBK" w:hAnsi="方正仿宋_GBK" w:eastAsia="方正仿宋_GBK" w:cs="方正仿宋_GBK"/>
          <w:b/>
          <w:sz w:val="30"/>
          <w:szCs w:val="30"/>
          <w:highlight w:val="none"/>
        </w:rPr>
        <w:t>、报价</w:t>
      </w:r>
      <w:r>
        <w:rPr>
          <w:rFonts w:hint="eastAsia" w:ascii="方正仿宋_GBK" w:hAnsi="方正仿宋_GBK" w:eastAsia="方正仿宋_GBK" w:cs="方正仿宋_GBK"/>
          <w:b/>
          <w:sz w:val="30"/>
          <w:szCs w:val="30"/>
          <w:highlight w:val="none"/>
          <w:lang w:val="en-US" w:eastAsia="zh-CN"/>
        </w:rPr>
        <w:t>要求</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kern w:val="0"/>
          <w:sz w:val="30"/>
          <w:szCs w:val="30"/>
          <w:highlight w:val="none"/>
          <w:lang w:val="en-US" w:eastAsia="zh-CN"/>
        </w:rPr>
        <w:t>按照所有产品</w:t>
      </w:r>
      <w:r>
        <w:rPr>
          <w:rFonts w:hint="eastAsia" w:ascii="方正仿宋_GBK" w:hAnsi="方正仿宋_GBK" w:eastAsia="方正仿宋_GBK" w:cs="方正仿宋_GBK"/>
          <w:kern w:val="0"/>
          <w:sz w:val="30"/>
          <w:szCs w:val="30"/>
          <w:highlight w:val="none"/>
        </w:rPr>
        <w:t>报</w:t>
      </w:r>
      <w:r>
        <w:rPr>
          <w:rFonts w:hint="eastAsia" w:ascii="方正仿宋_GBK" w:hAnsi="方正仿宋_GBK" w:eastAsia="方正仿宋_GBK" w:cs="方正仿宋_GBK"/>
          <w:kern w:val="0"/>
          <w:sz w:val="30"/>
          <w:szCs w:val="30"/>
          <w:highlight w:val="none"/>
          <w:lang w:val="en-US" w:eastAsia="zh-CN"/>
        </w:rPr>
        <w:t>分项报价和汇总总价</w:t>
      </w:r>
      <w:r>
        <w:rPr>
          <w:rFonts w:hint="eastAsia" w:ascii="方正仿宋_GBK" w:hAnsi="方正仿宋_GBK" w:eastAsia="方正仿宋_GBK" w:cs="方正仿宋_GBK"/>
          <w:kern w:val="0"/>
          <w:sz w:val="30"/>
          <w:szCs w:val="30"/>
          <w:highlight w:val="none"/>
        </w:rPr>
        <w:t>，</w:t>
      </w:r>
      <w:r>
        <w:rPr>
          <w:rFonts w:hint="eastAsia" w:ascii="方正仿宋_GBK" w:hAnsi="方正仿宋_GBK" w:eastAsia="方正仿宋_GBK" w:cs="方正仿宋_GBK"/>
          <w:sz w:val="30"/>
          <w:szCs w:val="30"/>
          <w:highlight w:val="none"/>
        </w:rPr>
        <w:t>报价包括</w:t>
      </w:r>
      <w:r>
        <w:rPr>
          <w:rFonts w:hint="eastAsia" w:ascii="方正仿宋_GBK" w:hAnsi="方正仿宋_GBK" w:eastAsia="方正仿宋_GBK" w:cs="方正仿宋_GBK"/>
          <w:sz w:val="30"/>
          <w:szCs w:val="30"/>
          <w:highlight w:val="none"/>
          <w:lang w:val="en-US" w:eastAsia="zh-CN"/>
        </w:rPr>
        <w:t>货款、使用培训、产品咨询、辅助</w:t>
      </w:r>
      <w:r>
        <w:rPr>
          <w:rFonts w:hint="eastAsia" w:ascii="方正仿宋_GBK" w:hAnsi="方正仿宋_GBK" w:eastAsia="方正仿宋_GBK" w:cs="方正仿宋_GBK"/>
          <w:sz w:val="30"/>
          <w:szCs w:val="30"/>
          <w:highlight w:val="none"/>
        </w:rPr>
        <w:t>材料供应、运输（含上、下车费用）、场内转运</w:t>
      </w:r>
      <w:r>
        <w:rPr>
          <w:rFonts w:hint="eastAsia" w:ascii="方正仿宋_GBK" w:hAnsi="方正仿宋_GBK" w:eastAsia="方正仿宋_GBK" w:cs="方正仿宋_GBK"/>
          <w:sz w:val="30"/>
          <w:szCs w:val="30"/>
          <w:highlight w:val="none"/>
          <w:lang w:val="en-US" w:eastAsia="zh-CN"/>
        </w:rPr>
        <w:t>配送、</w:t>
      </w:r>
      <w:r>
        <w:rPr>
          <w:rFonts w:hint="eastAsia" w:ascii="方正仿宋_GBK" w:hAnsi="方正仿宋_GBK" w:eastAsia="方正仿宋_GBK" w:cs="方正仿宋_GBK"/>
          <w:sz w:val="30"/>
          <w:szCs w:val="30"/>
          <w:highlight w:val="none"/>
        </w:rPr>
        <w:t>检测验收、质保期内的售后服务、</w:t>
      </w:r>
      <w:r>
        <w:rPr>
          <w:rFonts w:hint="eastAsia" w:ascii="方正仿宋_GBK" w:hAnsi="方正仿宋_GBK" w:eastAsia="方正仿宋_GBK" w:cs="方正仿宋_GBK"/>
          <w:sz w:val="30"/>
          <w:szCs w:val="30"/>
          <w:highlight w:val="none"/>
          <w:lang w:val="en-US" w:eastAsia="zh-CN"/>
        </w:rPr>
        <w:t>退货换货费用、</w:t>
      </w:r>
      <w:r>
        <w:rPr>
          <w:rFonts w:hint="eastAsia" w:ascii="方正仿宋_GBK" w:hAnsi="方正仿宋_GBK" w:eastAsia="方正仿宋_GBK" w:cs="方正仿宋_GBK"/>
          <w:sz w:val="30"/>
          <w:szCs w:val="30"/>
          <w:highlight w:val="none"/>
        </w:rPr>
        <w:t>各种税金、利润等所有应包括的直接费和间接费。报价必须是</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指定收货地点价格。</w:t>
      </w:r>
      <w:r>
        <w:rPr>
          <w:rFonts w:hint="eastAsia" w:ascii="方正仿宋_GBK" w:hAnsi="方正仿宋_GBK" w:eastAsia="方正仿宋_GBK" w:cs="方正仿宋_GBK"/>
          <w:b/>
          <w:bCs/>
          <w:sz w:val="30"/>
          <w:szCs w:val="30"/>
          <w:highlight w:val="none"/>
          <w:lang w:val="en-US" w:eastAsia="zh-CN"/>
        </w:rPr>
        <w:t>试剂类耗材如包含配套质控品、校准品、清洗液、其他辅材等，应明确报价是否包含相关产品，如未包含应单独报价。</w:t>
      </w:r>
      <w:r>
        <w:rPr>
          <w:rFonts w:hint="eastAsia" w:ascii="方正仿宋_GBK" w:hAnsi="方正仿宋_GBK" w:eastAsia="方正仿宋_GBK" w:cs="方正仿宋_GBK"/>
          <w:sz w:val="30"/>
          <w:szCs w:val="30"/>
          <w:highlight w:val="none"/>
          <w:lang w:val="en-US" w:eastAsia="zh-CN"/>
        </w:rPr>
        <w:t>院内已招采SPD服务，供应商投标时须考虑SPD配送服务价格</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yellow"/>
          <w:lang w:val="en-US" w:eastAsia="zh-CN"/>
        </w:rPr>
        <w:t>供应商的报价不得高于药交所的最低成交价，低于药交所最低成交价和未挂网产品视为同意采购人通过药交所线上备案采购</w:t>
      </w:r>
      <w:r>
        <w:rPr>
          <w:rFonts w:hint="eastAsia" w:ascii="方正仿宋_GBK" w:hAnsi="方正仿宋_GBK" w:eastAsia="方正仿宋_GBK" w:cs="方正仿宋_GBK"/>
          <w:b/>
          <w:bCs/>
          <w:sz w:val="30"/>
          <w:szCs w:val="30"/>
          <w:highlight w:val="yellow"/>
          <w:lang w:val="en-US" w:eastAsia="zh-CN"/>
        </w:rPr>
        <w:t>线上结算。为保障响应供应商配送产品的合法来源和报价的可行性，中选供应商应提供生产厂家或代理商的授权。（</w:t>
      </w:r>
      <w:r>
        <w:rPr>
          <w:rFonts w:hint="eastAsia" w:ascii="方正仿宋_GBK" w:hAnsi="方正仿宋_GBK" w:eastAsia="方正仿宋_GBK" w:cs="方正仿宋_GBK"/>
          <w:kern w:val="2"/>
          <w:sz w:val="30"/>
          <w:szCs w:val="30"/>
          <w:highlight w:val="yellow"/>
          <w:lang w:val="en-US" w:eastAsia="zh-CN" w:bidi="ar-SA"/>
        </w:rPr>
        <w:t>可在投标文件中一并提供</w:t>
      </w:r>
      <w:r>
        <w:rPr>
          <w:rFonts w:hint="eastAsia" w:ascii="方正仿宋_GBK" w:hAnsi="方正仿宋_GBK" w:eastAsia="方正仿宋_GBK" w:cs="方正仿宋_GBK"/>
          <w:sz w:val="30"/>
          <w:szCs w:val="30"/>
          <w:highlight w:val="yellow"/>
          <w:lang w:val="en-US" w:eastAsia="zh-CN"/>
        </w:rPr>
        <w:t>，相关授权文件最迟应在中选后5个工作日内送采购人审核，否则视为无效响应，投标保证金将不予退还）</w:t>
      </w:r>
    </w:p>
    <w:p>
      <w:pPr>
        <w:pageBreakBefore w:val="0"/>
        <w:kinsoku/>
        <w:wordWrap/>
        <w:overflowPunct/>
        <w:topLinePunct w:val="0"/>
        <w:autoSpaceDE/>
        <w:autoSpaceDN/>
        <w:bidi w:val="0"/>
        <w:adjustRightInd/>
        <w:snapToGrid w:val="0"/>
        <w:spacing w:line="400" w:lineRule="exact"/>
        <w:ind w:firstLine="602" w:firstLineChars="200"/>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五、联合体投标</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lang w:val="en-US" w:eastAsia="zh-CN"/>
        </w:rPr>
        <w:t>允许供应商响应本项目的部分产品，不接受供应商新增其他品规产品，不接受联合体投标，否则视为无效投标</w:t>
      </w:r>
      <w:r>
        <w:rPr>
          <w:rFonts w:hint="eastAsia" w:ascii="方正仿宋_GBK" w:hAnsi="方正仿宋_GBK" w:eastAsia="方正仿宋_GBK" w:cs="方正仿宋_GBK"/>
          <w:kern w:val="0"/>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641" w:firstLineChars="213"/>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六</w:t>
      </w:r>
      <w:r>
        <w:rPr>
          <w:rFonts w:hint="eastAsia" w:ascii="方正仿宋_GBK" w:hAnsi="方正仿宋_GBK" w:eastAsia="方正仿宋_GBK" w:cs="方正仿宋_GBK"/>
          <w:b/>
          <w:sz w:val="30"/>
          <w:szCs w:val="30"/>
          <w:highlight w:val="none"/>
        </w:rPr>
        <w:t>、标书</w:t>
      </w:r>
      <w:r>
        <w:rPr>
          <w:rFonts w:hint="eastAsia" w:ascii="方正仿宋_GBK" w:hAnsi="方正仿宋_GBK" w:eastAsia="方正仿宋_GBK" w:cs="方正仿宋_GBK"/>
          <w:b/>
          <w:sz w:val="30"/>
          <w:szCs w:val="30"/>
          <w:highlight w:val="none"/>
          <w:lang w:val="en-US" w:eastAsia="zh-CN"/>
        </w:rPr>
        <w:t>组成</w:t>
      </w:r>
      <w:r>
        <w:rPr>
          <w:rFonts w:hint="eastAsia" w:ascii="方正仿宋_GBK" w:hAnsi="方正仿宋_GBK" w:eastAsia="方正仿宋_GBK" w:cs="方正仿宋_GBK"/>
          <w:b/>
          <w:sz w:val="30"/>
          <w:szCs w:val="30"/>
          <w:highlight w:val="none"/>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由下列材料组成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资质：</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val="zh-TW" w:eastAsia="zh-TW"/>
        </w:rPr>
        <w:t>基本资格条件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.具有独立承担民事责任的能力；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.具有良好的商业信誉和健全的财务会计制度；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.具有履行合同所必需的设备和专业技术能力；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d</w:t>
      </w:r>
      <w:r>
        <w:rPr>
          <w:rFonts w:hint="eastAsia" w:ascii="方正仿宋_GBK" w:hAnsi="方正仿宋_GBK" w:eastAsia="方正仿宋_GBK" w:cs="方正仿宋_GBK"/>
          <w:color w:val="auto"/>
          <w:sz w:val="30"/>
          <w:szCs w:val="30"/>
          <w:highlight w:val="none"/>
          <w:lang w:val="zh-TW" w:eastAsia="zh-TW"/>
        </w:rPr>
        <w:t>.有依法缴纳税收和社会保障资金的良好记录；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e</w:t>
      </w:r>
      <w:r>
        <w:rPr>
          <w:rFonts w:hint="eastAsia" w:ascii="方正仿宋_GBK" w:hAnsi="方正仿宋_GBK" w:eastAsia="方正仿宋_GBK" w:cs="方正仿宋_GBK"/>
          <w:color w:val="auto"/>
          <w:sz w:val="30"/>
          <w:szCs w:val="30"/>
          <w:highlight w:val="none"/>
          <w:lang w:val="zh-TW" w:eastAsia="zh-TW"/>
        </w:rPr>
        <w:t>.参加招投标活动前三年内，在经营活动中没有重大违法记录。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②</w:t>
      </w:r>
      <w:r>
        <w:rPr>
          <w:rFonts w:hint="eastAsia" w:ascii="方正仿宋_GBK" w:hAnsi="方正仿宋_GBK" w:eastAsia="方正仿宋_GBK" w:cs="方正仿宋_GBK"/>
          <w:color w:val="auto"/>
          <w:sz w:val="30"/>
          <w:szCs w:val="30"/>
          <w:highlight w:val="none"/>
          <w:lang w:val="zh-TW" w:eastAsia="zh-TW"/>
        </w:rPr>
        <w:t>特定资格条件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若所投产品属于第二类或第三类医疗器械的，应提供中国境内合法的《医疗器械注册证》。</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.若所投产品属于药品的，应提供《药品经营许可证》</w:t>
      </w:r>
      <w:r>
        <w:rPr>
          <w:rFonts w:hint="eastAsia" w:ascii="方正仿宋_GBK" w:hAnsi="方正仿宋_GBK" w:eastAsia="方正仿宋_GBK" w:cs="方正仿宋_GBK"/>
          <w:color w:val="auto"/>
          <w:sz w:val="30"/>
          <w:szCs w:val="30"/>
          <w:highlight w:val="none"/>
          <w:lang w:val="zh-TW" w:eastAsia="zh-CN"/>
        </w:rPr>
        <w:t>。</w:t>
      </w:r>
    </w:p>
    <w:p>
      <w:pPr>
        <w:pStyle w:val="3"/>
        <w:ind w:firstLine="640" w:firstLineChars="200"/>
        <w:rPr>
          <w:rFonts w:hint="eastAsia"/>
          <w:lang w:val="zh-TW" w:eastAsia="zh-CN"/>
        </w:rPr>
      </w:pPr>
      <w:r>
        <w:rPr>
          <w:rFonts w:hint="eastAsia" w:ascii="方正仿宋_GBK" w:hAnsi="方正仿宋_GBK" w:eastAsia="方正仿宋_GBK" w:cs="方正仿宋_GBK"/>
          <w:color w:val="auto"/>
          <w:sz w:val="32"/>
          <w:szCs w:val="32"/>
          <w:lang w:val="en-US" w:eastAsia="zh-CN"/>
        </w:rPr>
        <w:t>d.产品需要冷链运输的，应具备相关资质或提供冷链运输企业的合作协议。</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2</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法定代表人身份证明</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（5）投标报价表（签字并加盖企业公章）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（6）项目一览表。（含所有产品及配件的规格、型号、生产厂家、品牌等）</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（7）提供每个产品注册证或备案证，以及每个产品在药交所官网截图，截图内容应一个产品一页，保障内容清晰。</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（8）技术参数差异对照表及商务需求差异对照表（技术参数须提供佐证材料，如参数性能彩页、第三方检验检测报告）。</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（9）最低价承诺。</w:t>
      </w:r>
      <w:r>
        <w:rPr>
          <w:rFonts w:hint="default" w:ascii="方正仿宋_GBK" w:hAnsi="方正仿宋_GBK" w:eastAsia="方正仿宋_GBK" w:cs="方正仿宋_GBK"/>
          <w:color w:val="auto"/>
          <w:sz w:val="30"/>
          <w:szCs w:val="30"/>
          <w:highlight w:val="none"/>
          <w:lang w:val="en-US" w:eastAsia="zh-CN"/>
        </w:rPr>
        <w:t>中选供应商应提供</w:t>
      </w:r>
      <w:r>
        <w:rPr>
          <w:rFonts w:hint="eastAsia" w:ascii="方正仿宋_GBK" w:hAnsi="方正仿宋_GBK" w:eastAsia="方正仿宋_GBK" w:cs="方正仿宋_GBK"/>
          <w:color w:val="auto"/>
          <w:sz w:val="30"/>
          <w:szCs w:val="30"/>
          <w:highlight w:val="none"/>
          <w:lang w:val="en-US" w:eastAsia="zh-CN"/>
        </w:rPr>
        <w:t>药交所</w:t>
      </w:r>
      <w:r>
        <w:rPr>
          <w:rFonts w:hint="default" w:ascii="方正仿宋_GBK" w:hAnsi="方正仿宋_GBK" w:eastAsia="方正仿宋_GBK" w:cs="方正仿宋_GBK"/>
          <w:color w:val="auto"/>
          <w:sz w:val="30"/>
          <w:szCs w:val="30"/>
          <w:highlight w:val="none"/>
          <w:lang w:val="en-US" w:eastAsia="zh-CN"/>
        </w:rPr>
        <w:t>最低价承诺，确保采购人所购耗材价格属于药交所线上最低价，线下采购产品属于重庆地区最低成交价。产品价格变化后应立即（一周内）通知采购人进行价格变更</w:t>
      </w:r>
      <w:r>
        <w:rPr>
          <w:rFonts w:hint="eastAsia" w:ascii="方正仿宋_GBK" w:hAnsi="方正仿宋_GBK" w:eastAsia="方正仿宋_GBK" w:cs="方正仿宋_GBK"/>
          <w:color w:val="auto"/>
          <w:sz w:val="30"/>
          <w:szCs w:val="30"/>
          <w:highlight w:val="none"/>
          <w:lang w:val="en-US" w:eastAsia="zh-CN"/>
        </w:rPr>
        <w:t>，</w:t>
      </w:r>
      <w:r>
        <w:rPr>
          <w:rFonts w:hint="default" w:ascii="方正仿宋_GBK" w:hAnsi="方正仿宋_GBK" w:eastAsia="方正仿宋_GBK" w:cs="方正仿宋_GBK"/>
          <w:color w:val="auto"/>
          <w:sz w:val="30"/>
          <w:szCs w:val="30"/>
          <w:highlight w:val="none"/>
          <w:lang w:val="en-US" w:eastAsia="zh-CN"/>
        </w:rPr>
        <w:t>承诺函格式自拟。</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（10）售后服务承诺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（11）供应商与其他单位的成交合同</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（12）投标廉政承诺书</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（13）采购人随时可要求供应商补充提供每个产品的其他相关资料，供应商应无条件支持和配合完成。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的格式及其签署</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（1）投标人的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应清晰的标有“正本”、“副本”，</w:t>
      </w:r>
      <w:r>
        <w:rPr>
          <w:rFonts w:hint="eastAsia" w:ascii="方正仿宋_GBK" w:hAnsi="方正仿宋_GBK" w:eastAsia="方正仿宋_GBK" w:cs="方正仿宋_GBK"/>
          <w:sz w:val="30"/>
          <w:szCs w:val="30"/>
          <w:highlight w:val="none"/>
          <w:lang w:val="en-US" w:eastAsia="zh-CN"/>
        </w:rPr>
        <w:t>共4份，其中正本1份，副本3份</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正本与副本不符，以正本为准。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（2）所有</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统一用A4纸，字体：4号，仿宋体。填写的内容必须打印或使用不褪色的蓝、黑墨水笔书写，</w:t>
      </w:r>
      <w:r>
        <w:rPr>
          <w:rFonts w:hint="eastAsia" w:ascii="方正仿宋_GBK" w:hAnsi="方正仿宋_GBK" w:eastAsia="方正仿宋_GBK" w:cs="方正仿宋_GBK"/>
          <w:sz w:val="30"/>
          <w:szCs w:val="30"/>
          <w:highlight w:val="none"/>
          <w:lang w:val="en-US" w:eastAsia="zh-CN"/>
        </w:rPr>
        <w:t>图片内容和</w:t>
      </w:r>
      <w:r>
        <w:rPr>
          <w:rFonts w:hint="eastAsia" w:ascii="方正仿宋_GBK" w:hAnsi="方正仿宋_GBK" w:eastAsia="方正仿宋_GBK" w:cs="方正仿宋_GBK"/>
          <w:sz w:val="30"/>
          <w:szCs w:val="30"/>
          <w:highlight w:val="none"/>
        </w:rPr>
        <w:t>字迹应清晰易于辨认。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的封面及投标函均应加盖投标人公章，并经法定代表人或其委托代理人签字。</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（4）</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上不应有行间插字、涂改和覆盖，除非是对投标人写错的地方做必要的修改，</w:t>
      </w:r>
      <w:r>
        <w:rPr>
          <w:rFonts w:hint="eastAsia" w:ascii="方正仿宋_GBK" w:hAnsi="方正仿宋_GBK" w:eastAsia="方正仿宋_GBK" w:cs="方正仿宋_GBK"/>
          <w:sz w:val="30"/>
          <w:szCs w:val="30"/>
          <w:highlight w:val="none"/>
          <w:lang w:val="en-US" w:eastAsia="zh-CN"/>
        </w:rPr>
        <w:t>并</w:t>
      </w:r>
      <w:r>
        <w:rPr>
          <w:rFonts w:hint="eastAsia" w:ascii="方正仿宋_GBK" w:hAnsi="方正仿宋_GBK" w:eastAsia="方正仿宋_GBK" w:cs="方正仿宋_GBK"/>
          <w:sz w:val="30"/>
          <w:szCs w:val="30"/>
          <w:highlight w:val="none"/>
        </w:rPr>
        <w:t>在修改处</w:t>
      </w:r>
      <w:r>
        <w:rPr>
          <w:rFonts w:hint="eastAsia" w:ascii="方正仿宋_GBK" w:hAnsi="方正仿宋_GBK" w:eastAsia="方正仿宋_GBK" w:cs="方正仿宋_GBK"/>
          <w:sz w:val="30"/>
          <w:szCs w:val="30"/>
          <w:highlight w:val="none"/>
          <w:lang w:val="en-US" w:eastAsia="zh-CN"/>
        </w:rPr>
        <w:t>签字盖章</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b w:val="0"/>
          <w:bCs/>
          <w:sz w:val="30"/>
          <w:szCs w:val="30"/>
          <w:highlight w:val="none"/>
          <w:lang w:val="en-US" w:eastAsia="zh-CN"/>
        </w:rPr>
      </w:pPr>
      <w:r>
        <w:rPr>
          <w:rFonts w:hint="eastAsia" w:ascii="方正仿宋_GBK" w:hAnsi="方正仿宋_GBK" w:eastAsia="方正仿宋_GBK" w:cs="方正仿宋_GBK"/>
          <w:b w:val="0"/>
          <w:bCs/>
          <w:sz w:val="30"/>
          <w:szCs w:val="30"/>
          <w:highlight w:val="none"/>
          <w:lang w:val="en-US" w:eastAsia="zh-CN"/>
        </w:rPr>
        <w:t>3.</w:t>
      </w:r>
      <w:r>
        <w:rPr>
          <w:rFonts w:hint="eastAsia" w:ascii="方正仿宋_GBK" w:hAnsi="方正仿宋_GBK" w:eastAsia="方正仿宋_GBK" w:cs="方正仿宋_GBK"/>
          <w:b w:val="0"/>
          <w:bCs/>
          <w:sz w:val="30"/>
          <w:szCs w:val="30"/>
          <w:highlight w:val="none"/>
        </w:rPr>
        <w:t>投标</w:t>
      </w:r>
      <w:r>
        <w:rPr>
          <w:rFonts w:hint="eastAsia" w:ascii="方正仿宋_GBK" w:hAnsi="方正仿宋_GBK" w:eastAsia="方正仿宋_GBK" w:cs="方正仿宋_GBK"/>
          <w:b w:val="0"/>
          <w:bCs/>
          <w:sz w:val="30"/>
          <w:szCs w:val="30"/>
          <w:highlight w:val="none"/>
          <w:lang w:val="en-US" w:eastAsia="zh-CN"/>
        </w:rPr>
        <w:t>响应</w:t>
      </w:r>
      <w:r>
        <w:rPr>
          <w:rFonts w:hint="eastAsia" w:ascii="方正仿宋_GBK" w:hAnsi="方正仿宋_GBK" w:eastAsia="方正仿宋_GBK" w:cs="方正仿宋_GBK"/>
          <w:b w:val="0"/>
          <w:bCs/>
          <w:sz w:val="30"/>
          <w:szCs w:val="30"/>
          <w:highlight w:val="none"/>
        </w:rPr>
        <w:t>文件的密封</w:t>
      </w:r>
      <w:r>
        <w:rPr>
          <w:rFonts w:hint="eastAsia" w:ascii="方正仿宋_GBK" w:hAnsi="方正仿宋_GBK" w:eastAsia="方正仿宋_GBK" w:cs="方正仿宋_GBK"/>
          <w:b w:val="0"/>
          <w:bCs/>
          <w:sz w:val="30"/>
          <w:szCs w:val="30"/>
          <w:highlight w:val="none"/>
          <w:lang w:val="en-US" w:eastAsia="zh-CN"/>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应装袋密封，在封口上并加盖企业公章。并标明邀标项目名称、投标人名称、电话号码及邮箱地址等字样。如果</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没有按规定密封，该</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将被拒绝接收。投标人无论是否中标，投标人递交的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均不退还。</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4.投标响应文件的递交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在投标时间内，将</w:t>
      </w:r>
      <w:r>
        <w:rPr>
          <w:rFonts w:hint="eastAsia" w:ascii="方正仿宋_GBK" w:hAnsi="方正仿宋_GBK" w:eastAsia="方正仿宋_GBK" w:cs="方正仿宋_GBK"/>
          <w:sz w:val="30"/>
          <w:szCs w:val="30"/>
          <w:highlight w:val="none"/>
        </w:rPr>
        <w:t>密封</w:t>
      </w:r>
      <w:r>
        <w:rPr>
          <w:rFonts w:hint="eastAsia" w:ascii="方正仿宋_GBK" w:hAnsi="方正仿宋_GBK" w:eastAsia="方正仿宋_GBK" w:cs="方正仿宋_GBK"/>
          <w:sz w:val="30"/>
          <w:szCs w:val="30"/>
          <w:highlight w:val="none"/>
          <w:lang w:val="en-US" w:eastAsia="zh-CN"/>
        </w:rPr>
        <w:t>的投标响应文件交到璧山区人民医院采购办331办公室，收件人王文君，联系电话02341562788。超过投标时间递交投标响应文件的不予受理，通过快递方式邮件投标响应文件的，自行承担快递遗失和未按时递交风险。</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eastAsia="zh-CN"/>
        </w:rPr>
      </w:pPr>
      <w:r>
        <w:rPr>
          <w:rFonts w:hint="eastAsia" w:ascii="方正仿宋_GBK" w:hAnsi="方正仿宋_GBK" w:eastAsia="方正仿宋_GBK" w:cs="方正仿宋_GBK"/>
          <w:b/>
          <w:sz w:val="30"/>
          <w:szCs w:val="30"/>
          <w:highlight w:val="none"/>
          <w:lang w:val="en-US" w:eastAsia="zh-CN"/>
        </w:rPr>
        <w:t>七</w:t>
      </w:r>
      <w:r>
        <w:rPr>
          <w:rFonts w:hint="eastAsia" w:ascii="方正仿宋_GBK" w:hAnsi="方正仿宋_GBK" w:eastAsia="方正仿宋_GBK" w:cs="方正仿宋_GBK"/>
          <w:b/>
          <w:sz w:val="30"/>
          <w:szCs w:val="30"/>
          <w:highlight w:val="none"/>
        </w:rPr>
        <w:t>、评标</w:t>
      </w:r>
      <w:r>
        <w:rPr>
          <w:rFonts w:hint="eastAsia" w:ascii="方正仿宋_GBK" w:hAnsi="方正仿宋_GBK" w:eastAsia="方正仿宋_GBK" w:cs="方正仿宋_GBK"/>
          <w:b/>
          <w:sz w:val="30"/>
          <w:szCs w:val="30"/>
          <w:highlight w:val="none"/>
          <w:lang w:val="en-US" w:eastAsia="zh-CN"/>
        </w:rPr>
        <w:t>管理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1、初审：分资格性检查和符合性检查。</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资格性检查</w:t>
      </w:r>
      <w:r>
        <w:rPr>
          <w:rFonts w:hint="eastAsia" w:ascii="方正仿宋_GBK" w:hAnsi="方正仿宋_GBK" w:eastAsia="方正仿宋_GBK" w:cs="方正仿宋_GBK"/>
          <w:sz w:val="30"/>
          <w:szCs w:val="30"/>
          <w:highlight w:val="none"/>
        </w:rPr>
        <w:t>是依据法律法规和邀标文件的规定，对</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中的资格证明进行审查，以确定投标人是否具备投标资格；</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符合性检查</w:t>
      </w:r>
      <w:r>
        <w:rPr>
          <w:rFonts w:hint="eastAsia" w:ascii="方正仿宋_GBK" w:hAnsi="方正仿宋_GBK" w:eastAsia="方正仿宋_GBK" w:cs="方正仿宋_GBK"/>
          <w:sz w:val="30"/>
          <w:szCs w:val="30"/>
          <w:highlight w:val="none"/>
        </w:rPr>
        <w:t>是依据邀标文件的规定，从</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的有效性、完整性和对邀标文件的响应程度进行审查，以确定投标人是否对邀标文件的实质性要求作出响应。</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评标小组</w:t>
      </w:r>
      <w:r>
        <w:rPr>
          <w:rFonts w:hint="eastAsia" w:ascii="方正仿宋_GBK" w:hAnsi="方正仿宋_GBK" w:eastAsia="方正仿宋_GBK" w:cs="方正仿宋_GBK"/>
          <w:sz w:val="30"/>
          <w:szCs w:val="30"/>
          <w:highlight w:val="none"/>
        </w:rPr>
        <w:t>对</w:t>
      </w:r>
      <w:r>
        <w:rPr>
          <w:rFonts w:hint="eastAsia" w:ascii="方正仿宋_GBK" w:hAnsi="方正仿宋_GBK" w:eastAsia="方正仿宋_GBK" w:cs="方正仿宋_GBK"/>
          <w:sz w:val="30"/>
          <w:szCs w:val="30"/>
          <w:highlight w:val="none"/>
          <w:lang w:val="en-US" w:eastAsia="zh-CN"/>
        </w:rPr>
        <w:t>供应商的投标资料进行</w:t>
      </w:r>
      <w:r>
        <w:rPr>
          <w:rFonts w:hint="eastAsia" w:ascii="方正仿宋_GBK" w:hAnsi="方正仿宋_GBK" w:eastAsia="方正仿宋_GBK" w:cs="方正仿宋_GBK"/>
          <w:sz w:val="30"/>
          <w:szCs w:val="30"/>
          <w:highlight w:val="none"/>
        </w:rPr>
        <w:t>资格性</w:t>
      </w:r>
      <w:r>
        <w:rPr>
          <w:rFonts w:hint="eastAsia" w:ascii="方正仿宋_GBK" w:hAnsi="方正仿宋_GBK" w:eastAsia="方正仿宋_GBK" w:cs="方正仿宋_GBK"/>
          <w:sz w:val="30"/>
          <w:szCs w:val="30"/>
          <w:highlight w:val="none"/>
          <w:lang w:val="en-US" w:eastAsia="zh-CN"/>
        </w:rPr>
        <w:t>审查和</w:t>
      </w:r>
      <w:r>
        <w:rPr>
          <w:rFonts w:hint="eastAsia" w:ascii="方正仿宋_GBK" w:hAnsi="方正仿宋_GBK" w:eastAsia="方正仿宋_GBK" w:cs="方正仿宋_GBK"/>
          <w:sz w:val="30"/>
          <w:szCs w:val="30"/>
          <w:highlight w:val="none"/>
        </w:rPr>
        <w:t>符合性</w:t>
      </w:r>
      <w:r>
        <w:rPr>
          <w:rFonts w:hint="eastAsia" w:ascii="方正仿宋_GBK" w:hAnsi="方正仿宋_GBK" w:eastAsia="方正仿宋_GBK" w:cs="方正仿宋_GBK"/>
          <w:sz w:val="30"/>
          <w:szCs w:val="30"/>
          <w:highlight w:val="none"/>
          <w:lang w:val="en-US" w:eastAsia="zh-CN"/>
        </w:rPr>
        <w:t>审</w:t>
      </w:r>
      <w:r>
        <w:rPr>
          <w:rFonts w:hint="eastAsia" w:ascii="方正仿宋_GBK" w:hAnsi="方正仿宋_GBK" w:eastAsia="方正仿宋_GBK" w:cs="方正仿宋_GBK"/>
          <w:sz w:val="30"/>
          <w:szCs w:val="30"/>
          <w:highlight w:val="none"/>
        </w:rPr>
        <w:t>查</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将审查</w:t>
      </w:r>
      <w:r>
        <w:rPr>
          <w:rFonts w:hint="eastAsia" w:ascii="方正仿宋_GBK" w:hAnsi="方正仿宋_GBK" w:eastAsia="方正仿宋_GBK" w:cs="方正仿宋_GBK"/>
          <w:sz w:val="30"/>
          <w:szCs w:val="30"/>
          <w:highlight w:val="none"/>
        </w:rPr>
        <w:t>合格</w:t>
      </w:r>
      <w:r>
        <w:rPr>
          <w:rFonts w:hint="eastAsia" w:ascii="方正仿宋_GBK" w:hAnsi="方正仿宋_GBK" w:eastAsia="方正仿宋_GBK" w:cs="方正仿宋_GBK"/>
          <w:sz w:val="30"/>
          <w:szCs w:val="30"/>
          <w:highlight w:val="none"/>
          <w:lang w:val="en-US" w:eastAsia="zh-CN"/>
        </w:rPr>
        <w:t>的供应商按照</w:t>
      </w:r>
      <w:r>
        <w:rPr>
          <w:rFonts w:hint="eastAsia" w:ascii="方正仿宋_GBK" w:hAnsi="方正仿宋_GBK" w:eastAsia="方正仿宋_GBK" w:cs="方正仿宋_GBK"/>
          <w:sz w:val="30"/>
          <w:szCs w:val="30"/>
          <w:highlight w:val="none"/>
          <w:u w:val="single"/>
          <w:lang w:val="en-US" w:eastAsia="zh-CN"/>
        </w:rPr>
        <w:t>报价由低到高</w:t>
      </w:r>
      <w:r>
        <w:rPr>
          <w:rFonts w:hint="eastAsia" w:ascii="方正仿宋_GBK" w:hAnsi="方正仿宋_GBK" w:eastAsia="方正仿宋_GBK" w:cs="方正仿宋_GBK"/>
          <w:sz w:val="30"/>
          <w:szCs w:val="30"/>
          <w:highlight w:val="none"/>
          <w:lang w:val="en-US" w:eastAsia="zh-CN"/>
        </w:rPr>
        <w:t>的顺序依次确定第一、第二顺序中选人。经院内评标小组评估商议，项目复杂要邀请院外评标专家的，专家费用由中选供应商承担。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2、定标原则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按照投标人</w:t>
      </w:r>
      <w:r>
        <w:rPr>
          <w:rFonts w:hint="eastAsia" w:ascii="方正仿宋_GBK" w:hAnsi="方正仿宋_GBK" w:eastAsia="方正仿宋_GBK" w:cs="方正仿宋_GBK"/>
          <w:sz w:val="30"/>
          <w:szCs w:val="30"/>
          <w:highlight w:val="none"/>
          <w:lang w:val="en-US" w:eastAsia="zh-CN"/>
        </w:rPr>
        <w:t>报价由低到高</w:t>
      </w:r>
      <w:r>
        <w:rPr>
          <w:rFonts w:hint="eastAsia" w:ascii="方正仿宋_GBK" w:hAnsi="方正仿宋_GBK" w:eastAsia="方正仿宋_GBK" w:cs="方正仿宋_GBK"/>
          <w:sz w:val="30"/>
          <w:szCs w:val="30"/>
          <w:highlight w:val="none"/>
        </w:rPr>
        <w:t>顺序</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b/>
          <w:bCs/>
          <w:sz w:val="30"/>
          <w:szCs w:val="30"/>
          <w:highlight w:val="none"/>
          <w:lang w:val="en-US" w:eastAsia="zh-CN"/>
        </w:rPr>
        <w:t>单项报价*预估用量所得总价进行对比）</w:t>
      </w:r>
      <w:r>
        <w:rPr>
          <w:rFonts w:hint="eastAsia" w:ascii="方正仿宋_GBK" w:hAnsi="方正仿宋_GBK" w:eastAsia="方正仿宋_GBK" w:cs="方正仿宋_GBK"/>
          <w:sz w:val="30"/>
          <w:szCs w:val="30"/>
          <w:highlight w:val="none"/>
        </w:rPr>
        <w:t>，依次进行商务谈判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包括二次报价</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none"/>
          <w:lang w:val="en-US" w:eastAsia="zh-CN"/>
        </w:rPr>
        <w:t>合同签订前，采购人</w:t>
      </w:r>
      <w:r>
        <w:rPr>
          <w:rFonts w:hint="eastAsia" w:ascii="方正仿宋_GBK" w:hAnsi="方正仿宋_GBK" w:eastAsia="方正仿宋_GBK" w:cs="方正仿宋_GBK"/>
          <w:sz w:val="30"/>
          <w:szCs w:val="30"/>
          <w:highlight w:val="none"/>
        </w:rPr>
        <w:t>有权采取市场调查、工厂或业绩单位现场考察</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产品使用</w:t>
      </w:r>
      <w:r>
        <w:rPr>
          <w:rFonts w:hint="eastAsia" w:ascii="方正仿宋_GBK" w:hAnsi="方正仿宋_GBK" w:eastAsia="方正仿宋_GBK" w:cs="方正仿宋_GBK"/>
          <w:sz w:val="30"/>
          <w:szCs w:val="30"/>
          <w:highlight w:val="none"/>
        </w:rPr>
        <w:t>等方式对中标候选人资质财务、技术、管理能力、产品质量、交付能力及信誉等</w:t>
      </w:r>
      <w:r>
        <w:rPr>
          <w:rFonts w:hint="eastAsia" w:ascii="方正仿宋_GBK" w:hAnsi="方正仿宋_GBK" w:eastAsia="方正仿宋_GBK" w:cs="方正仿宋_GBK"/>
          <w:sz w:val="30"/>
          <w:szCs w:val="30"/>
          <w:highlight w:val="none"/>
          <w:lang w:val="en-US" w:eastAsia="zh-CN"/>
        </w:rPr>
        <w:t>供应商信息</w:t>
      </w:r>
      <w:r>
        <w:rPr>
          <w:rFonts w:hint="eastAsia" w:ascii="方正仿宋_GBK" w:hAnsi="方正仿宋_GBK" w:eastAsia="方正仿宋_GBK" w:cs="方正仿宋_GBK"/>
          <w:sz w:val="30"/>
          <w:szCs w:val="30"/>
          <w:highlight w:val="none"/>
        </w:rPr>
        <w:t>进行考查</w:t>
      </w:r>
      <w:r>
        <w:rPr>
          <w:rFonts w:hint="eastAsia" w:ascii="方正仿宋_GBK" w:hAnsi="方正仿宋_GBK" w:eastAsia="方正仿宋_GBK" w:cs="方正仿宋_GBK"/>
          <w:sz w:val="30"/>
          <w:szCs w:val="30"/>
          <w:highlight w:val="none"/>
          <w:lang w:val="en-US" w:eastAsia="zh-CN"/>
        </w:rPr>
        <w:t>核实</w:t>
      </w:r>
      <w:r>
        <w:rPr>
          <w:rFonts w:hint="eastAsia" w:ascii="方正仿宋_GBK" w:hAnsi="方正仿宋_GBK" w:eastAsia="方正仿宋_GBK" w:cs="方正仿宋_GBK"/>
          <w:sz w:val="30"/>
          <w:szCs w:val="30"/>
          <w:highlight w:val="none"/>
        </w:rPr>
        <w:t>，中标候选人必须支持和配合</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如第一</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因不可抗力或者自身原因不能履行合同的，</w:t>
      </w:r>
      <w:r>
        <w:rPr>
          <w:rFonts w:hint="eastAsia" w:ascii="方正仿宋_GBK" w:hAnsi="方正仿宋_GBK" w:eastAsia="方正仿宋_GBK" w:cs="方正仿宋_GBK"/>
          <w:sz w:val="30"/>
          <w:szCs w:val="30"/>
          <w:highlight w:val="none"/>
          <w:lang w:eastAsia="zh-CN"/>
        </w:rPr>
        <w:t>采购人</w:t>
      </w:r>
      <w:r>
        <w:rPr>
          <w:rFonts w:hint="eastAsia" w:ascii="方正仿宋_GBK" w:hAnsi="方正仿宋_GBK" w:eastAsia="方正仿宋_GBK" w:cs="方正仿宋_GBK"/>
          <w:sz w:val="30"/>
          <w:szCs w:val="30"/>
          <w:highlight w:val="none"/>
        </w:rPr>
        <w:t>可以确定第二中标候选人为</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，以此类推。</w:t>
      </w:r>
      <w:r>
        <w:rPr>
          <w:rFonts w:hint="eastAsia" w:ascii="方正仿宋_GBK" w:hAnsi="方正仿宋_GBK" w:eastAsia="方正仿宋_GBK" w:cs="方正仿宋_GBK"/>
          <w:sz w:val="30"/>
          <w:szCs w:val="30"/>
          <w:highlight w:val="none"/>
          <w:lang w:val="en-US" w:eastAsia="zh-CN"/>
        </w:rPr>
        <w:t>针对部分药交所线上或线下采购价格差异较大的产品，由评标小组商议后决定执行线上采购或线下采购线上备案。合同签订前，采购人将对拟中选产品进行试用，确认投标产品质量及性能，试用未通过的将顺延下一顺序满足采购人要求的供应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3、结果公示</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对评标结果</w:t>
      </w:r>
      <w:r>
        <w:rPr>
          <w:rFonts w:hint="eastAsia" w:ascii="方正仿宋_GBK" w:hAnsi="方正仿宋_GBK" w:eastAsia="方正仿宋_GBK" w:cs="方正仿宋_GBK"/>
          <w:sz w:val="30"/>
          <w:szCs w:val="30"/>
          <w:highlight w:val="none"/>
          <w:lang w:val="en-US" w:eastAsia="zh-CN"/>
        </w:rPr>
        <w:t>在医院官网挂网公示1工作日，</w:t>
      </w:r>
      <w:r>
        <w:rPr>
          <w:rFonts w:hint="eastAsia" w:ascii="方正仿宋_GBK" w:hAnsi="方正仿宋_GBK" w:eastAsia="方正仿宋_GBK" w:cs="方正仿宋_GBK"/>
          <w:sz w:val="30"/>
          <w:szCs w:val="30"/>
          <w:highlight w:val="none"/>
        </w:rPr>
        <w:t>对未</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不</w:t>
      </w:r>
      <w:r>
        <w:rPr>
          <w:rFonts w:hint="eastAsia" w:ascii="方正仿宋_GBK" w:hAnsi="方正仿宋_GBK" w:eastAsia="方正仿宋_GBK" w:cs="方正仿宋_GBK"/>
          <w:sz w:val="30"/>
          <w:szCs w:val="30"/>
          <w:highlight w:val="none"/>
          <w:lang w:val="en-US" w:eastAsia="zh-CN"/>
        </w:rPr>
        <w:t>再另行</w:t>
      </w:r>
      <w:r>
        <w:rPr>
          <w:rFonts w:hint="eastAsia" w:ascii="方正仿宋_GBK" w:hAnsi="方正仿宋_GBK" w:eastAsia="方正仿宋_GBK" w:cs="方正仿宋_GBK"/>
          <w:sz w:val="30"/>
          <w:szCs w:val="30"/>
          <w:highlight w:val="none"/>
        </w:rPr>
        <w:t>通知。</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八</w:t>
      </w:r>
      <w:r>
        <w:rPr>
          <w:rFonts w:hint="eastAsia" w:ascii="方正仿宋_GBK" w:hAnsi="方正仿宋_GBK" w:eastAsia="方正仿宋_GBK" w:cs="方正仿宋_GBK"/>
          <w:b/>
          <w:sz w:val="30"/>
          <w:szCs w:val="30"/>
          <w:highlight w:val="none"/>
        </w:rPr>
        <w:t>、其他</w:t>
      </w:r>
      <w:r>
        <w:rPr>
          <w:rFonts w:hint="eastAsia" w:ascii="方正仿宋_GBK" w:hAnsi="方正仿宋_GBK" w:eastAsia="方正仿宋_GBK" w:cs="方正仿宋_GBK"/>
          <w:b/>
          <w:sz w:val="30"/>
          <w:szCs w:val="30"/>
          <w:highlight w:val="none"/>
          <w:lang w:val="en-US" w:eastAsia="zh-CN"/>
        </w:rPr>
        <w:t>事项</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bookmarkStart w:id="0" w:name="_Toc128014287"/>
      <w:bookmarkStart w:id="1" w:name="_Toc156196446"/>
      <w:bookmarkStart w:id="2" w:name="_Toc128229721"/>
      <w:bookmarkStart w:id="3" w:name="_Toc128229278"/>
      <w:bookmarkStart w:id="4" w:name="_Toc237057789"/>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采购公告有效期内，投标人通过邮件院内报名同时缴纳投标保证金。</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rPr>
        <w:t>2、采购文件下载方式：</w:t>
      </w:r>
      <w:r>
        <w:rPr>
          <w:rFonts w:hint="eastAsia" w:ascii="方正仿宋_GBK" w:hAnsi="方正仿宋_GBK" w:eastAsia="方正仿宋_GBK" w:cs="方正仿宋_GBK"/>
          <w:sz w:val="30"/>
          <w:szCs w:val="30"/>
          <w:highlight w:val="none"/>
          <w:lang w:val="en-US" w:eastAsia="zh-CN"/>
        </w:rPr>
        <w:t>报名成功后邮件发送采购文件。</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3、达到</w:t>
      </w:r>
      <w:r>
        <w:rPr>
          <w:rFonts w:hint="eastAsia" w:ascii="方正仿宋_GBK" w:hAnsi="方正仿宋_GBK" w:eastAsia="方正仿宋_GBK" w:cs="方正仿宋_GBK"/>
          <w:kern w:val="0"/>
          <w:sz w:val="30"/>
          <w:szCs w:val="30"/>
          <w:highlight w:val="none"/>
          <w:lang w:val="en-US" w:eastAsia="zh-CN"/>
        </w:rPr>
        <w:t>开标条件后，开评标时间将通过邮件另行通知。</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4</w:t>
      </w:r>
      <w:r>
        <w:rPr>
          <w:rFonts w:hint="eastAsia" w:ascii="方正仿宋_GBK" w:hAnsi="方正仿宋_GBK" w:eastAsia="方正仿宋_GBK" w:cs="方正仿宋_GBK"/>
          <w:sz w:val="30"/>
          <w:szCs w:val="30"/>
          <w:highlight w:val="none"/>
        </w:rPr>
        <w:t>、答疑截止时间：</w:t>
      </w:r>
      <w:r>
        <w:rPr>
          <w:rFonts w:hint="eastAsia" w:ascii="方正仿宋_GBK" w:hAnsi="方正仿宋_GBK" w:eastAsia="方正仿宋_GBK" w:cs="方正仿宋_GBK"/>
          <w:sz w:val="30"/>
          <w:szCs w:val="30"/>
          <w:highlight w:val="none"/>
          <w:lang w:val="en-US" w:eastAsia="zh-CN"/>
        </w:rPr>
        <w:t>报名期间</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5</w:t>
      </w:r>
      <w:r>
        <w:rPr>
          <w:rFonts w:hint="eastAsia" w:ascii="方正仿宋_GBK" w:hAnsi="方正仿宋_GBK" w:eastAsia="方正仿宋_GBK" w:cs="方正仿宋_GBK"/>
          <w:sz w:val="30"/>
          <w:szCs w:val="30"/>
          <w:highlight w:val="none"/>
        </w:rPr>
        <w:t>、联系人：</w:t>
      </w:r>
      <w:r>
        <w:rPr>
          <w:rFonts w:hint="eastAsia" w:ascii="方正仿宋_GBK" w:hAnsi="方正仿宋_GBK" w:eastAsia="方正仿宋_GBK" w:cs="方正仿宋_GBK"/>
          <w:sz w:val="30"/>
          <w:szCs w:val="30"/>
          <w:highlight w:val="none"/>
          <w:lang w:val="en-US" w:eastAsia="zh-CN"/>
        </w:rPr>
        <w:t>王文君</w:t>
      </w:r>
      <w:r>
        <w:rPr>
          <w:rFonts w:hint="eastAsia" w:ascii="方正仿宋_GBK" w:hAnsi="方正仿宋_GBK" w:eastAsia="方正仿宋_GBK" w:cs="方正仿宋_GBK"/>
          <w:sz w:val="30"/>
          <w:szCs w:val="30"/>
          <w:highlight w:val="none"/>
        </w:rPr>
        <w:t>   联系电话：023-</w:t>
      </w:r>
      <w:r>
        <w:rPr>
          <w:rFonts w:hint="eastAsia" w:ascii="方正仿宋_GBK" w:hAnsi="方正仿宋_GBK" w:eastAsia="方正仿宋_GBK" w:cs="方正仿宋_GBK"/>
          <w:sz w:val="30"/>
          <w:szCs w:val="30"/>
          <w:highlight w:val="none"/>
          <w:lang w:val="en-US" w:eastAsia="zh-CN"/>
        </w:rPr>
        <w:t>41562788</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6</w:t>
      </w:r>
      <w:r>
        <w:rPr>
          <w:rFonts w:hint="eastAsia" w:ascii="方正仿宋_GBK" w:hAnsi="方正仿宋_GBK" w:eastAsia="方正仿宋_GBK" w:cs="方正仿宋_GBK"/>
          <w:sz w:val="30"/>
          <w:szCs w:val="30"/>
          <w:highlight w:val="none"/>
        </w:rPr>
        <w:t>、评标地点：</w:t>
      </w:r>
      <w:r>
        <w:rPr>
          <w:rFonts w:hint="eastAsia" w:ascii="方正仿宋_GBK" w:hAnsi="方正仿宋_GBK" w:eastAsia="方正仿宋_GBK" w:cs="方正仿宋_GBK"/>
          <w:sz w:val="30"/>
          <w:szCs w:val="30"/>
          <w:highlight w:val="none"/>
          <w:lang w:eastAsia="zh-CN"/>
        </w:rPr>
        <w:t>重庆医科大学附属璧山医院</w:t>
      </w:r>
      <w:r>
        <w:rPr>
          <w:rFonts w:hint="eastAsia" w:ascii="方正仿宋_GBK" w:hAnsi="方正仿宋_GBK" w:eastAsia="方正仿宋_GBK" w:cs="方正仿宋_GBK"/>
          <w:sz w:val="30"/>
          <w:szCs w:val="30"/>
          <w:highlight w:val="none"/>
          <w:lang w:val="en-US" w:eastAsia="zh-CN"/>
        </w:rPr>
        <w:t>行政楼307、408或103等</w:t>
      </w:r>
      <w:r>
        <w:rPr>
          <w:rFonts w:hint="eastAsia" w:ascii="方正仿宋_GBK" w:hAnsi="方正仿宋_GBK" w:eastAsia="方正仿宋_GBK" w:cs="方正仿宋_GBK"/>
          <w:sz w:val="30"/>
          <w:szCs w:val="30"/>
          <w:highlight w:val="none"/>
        </w:rPr>
        <w:t>会议室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视具体情况而定（无需供应商到场）</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7</w:t>
      </w:r>
      <w:r>
        <w:rPr>
          <w:rFonts w:hint="eastAsia" w:ascii="方正仿宋_GBK" w:hAnsi="方正仿宋_GBK" w:eastAsia="方正仿宋_GBK" w:cs="方正仿宋_GBK"/>
          <w:sz w:val="30"/>
          <w:szCs w:val="30"/>
          <w:highlight w:val="none"/>
        </w:rPr>
        <w:t>、供货时间：收到中标通知书后5天内。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sz w:val="30"/>
          <w:szCs w:val="30"/>
          <w:highlight w:val="none"/>
          <w:lang w:val="en-US" w:eastAsia="zh-CN"/>
        </w:rPr>
        <w:t>8、</w:t>
      </w:r>
      <w:r>
        <w:rPr>
          <w:rFonts w:hint="eastAsia" w:ascii="方正仿宋_GBK" w:hAnsi="方正仿宋_GBK" w:eastAsia="方正仿宋_GBK" w:cs="方正仿宋_GBK"/>
          <w:color w:val="auto"/>
          <w:kern w:val="0"/>
          <w:sz w:val="32"/>
          <w:szCs w:val="32"/>
          <w:lang w:val="en-US" w:eastAsia="zh-CN"/>
        </w:rPr>
        <w:t>无效响应情况：①供应商不符合规定的基本资格条件或特定资格条件的；②供应商所提交的响应文件未按招采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9、</w:t>
      </w:r>
      <w:r>
        <w:rPr>
          <w:rFonts w:hint="eastAsia" w:ascii="方正仿宋_GBK" w:hAnsi="方正仿宋_GBK" w:eastAsia="方正仿宋_GBK" w:cs="方正仿宋_GBK"/>
          <w:sz w:val="30"/>
          <w:szCs w:val="30"/>
          <w:highlight w:val="none"/>
        </w:rPr>
        <w:t>废标情形：</w:t>
      </w:r>
      <w:r>
        <w:rPr>
          <w:rFonts w:hint="eastAsia" w:ascii="方正仿宋_GBK" w:hAnsi="方正仿宋_GBK" w:eastAsia="方正仿宋_GBK" w:cs="方正仿宋_GBK"/>
          <w:sz w:val="30"/>
          <w:szCs w:val="30"/>
          <w:highlight w:val="none"/>
          <w:lang w:val="en-US" w:eastAsia="zh-CN"/>
        </w:rPr>
        <w:t>供应商存在</w:t>
      </w:r>
      <w:r>
        <w:rPr>
          <w:rFonts w:hint="eastAsia" w:ascii="方正仿宋_GBK" w:hAnsi="方正仿宋_GBK" w:eastAsia="方正仿宋_GBK" w:cs="方正仿宋_GBK"/>
          <w:color w:val="auto"/>
          <w:kern w:val="0"/>
          <w:sz w:val="32"/>
          <w:szCs w:val="32"/>
          <w:lang w:val="en-US" w:eastAsia="zh-CN"/>
        </w:rPr>
        <w:t>围标、串标等</w:t>
      </w:r>
      <w:r>
        <w:rPr>
          <w:rFonts w:hint="eastAsia" w:ascii="方正仿宋_GBK" w:hAnsi="方正仿宋_GBK" w:eastAsia="方正仿宋_GBK" w:cs="方正仿宋_GBK"/>
          <w:sz w:val="30"/>
          <w:szCs w:val="30"/>
          <w:highlight w:val="none"/>
        </w:rPr>
        <w:t>影响采购公正的</w:t>
      </w:r>
      <w:r>
        <w:rPr>
          <w:rFonts w:hint="eastAsia" w:ascii="方正仿宋_GBK" w:hAnsi="方正仿宋_GBK" w:eastAsia="方正仿宋_GBK" w:cs="方正仿宋_GBK"/>
          <w:color w:val="auto"/>
          <w:kern w:val="0"/>
          <w:sz w:val="32"/>
          <w:szCs w:val="32"/>
          <w:lang w:val="en-US" w:eastAsia="zh-CN"/>
        </w:rPr>
        <w:t>违法行为</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供应商报价</w:t>
      </w:r>
      <w:r>
        <w:rPr>
          <w:rFonts w:hint="eastAsia" w:ascii="方正仿宋_GBK" w:hAnsi="方正仿宋_GBK" w:eastAsia="方正仿宋_GBK" w:cs="方正仿宋_GBK"/>
          <w:sz w:val="30"/>
          <w:szCs w:val="30"/>
          <w:highlight w:val="none"/>
          <w:lang w:val="en-US" w:eastAsia="zh-CN"/>
        </w:rPr>
        <w:t>明显</w:t>
      </w:r>
      <w:r>
        <w:rPr>
          <w:rFonts w:hint="eastAsia" w:ascii="方正仿宋_GBK" w:hAnsi="方正仿宋_GBK" w:eastAsia="方正仿宋_GBK" w:cs="方正仿宋_GBK"/>
          <w:sz w:val="30"/>
          <w:szCs w:val="30"/>
          <w:highlight w:val="none"/>
        </w:rPr>
        <w:t>超过</w:t>
      </w:r>
      <w:r>
        <w:rPr>
          <w:rFonts w:hint="eastAsia" w:ascii="方正仿宋_GBK" w:hAnsi="方正仿宋_GBK" w:eastAsia="方正仿宋_GBK" w:cs="方正仿宋_GBK"/>
          <w:sz w:val="30"/>
          <w:szCs w:val="30"/>
          <w:highlight w:val="none"/>
          <w:lang w:val="en-US" w:eastAsia="zh-CN"/>
        </w:rPr>
        <w:t>或显著低于</w:t>
      </w:r>
      <w:r>
        <w:rPr>
          <w:rFonts w:hint="eastAsia" w:ascii="方正仿宋_GBK" w:hAnsi="方正仿宋_GBK" w:eastAsia="方正仿宋_GBK" w:cs="方正仿宋_GBK"/>
          <w:sz w:val="30"/>
          <w:szCs w:val="30"/>
          <w:highlight w:val="none"/>
        </w:rPr>
        <w:t>市场均价，</w:t>
      </w:r>
      <w:r>
        <w:rPr>
          <w:rFonts w:hint="eastAsia" w:ascii="方正仿宋_GBK" w:hAnsi="方正仿宋_GBK" w:eastAsia="方正仿宋_GBK" w:cs="方正仿宋_GBK"/>
          <w:color w:val="auto"/>
          <w:kern w:val="0"/>
          <w:sz w:val="32"/>
          <w:szCs w:val="32"/>
          <w:lang w:val="en-US" w:eastAsia="zh-CN"/>
        </w:rPr>
        <w:t>不能在规定时限内对响应材料的真实性和合理性进行说明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供应商提供虚假资料，将进入采购人供应商不良执业记录；</w:t>
      </w:r>
      <w:r>
        <w:rPr>
          <w:rFonts w:hint="eastAsia" w:ascii="方正仿宋_GBK" w:hAnsi="方正仿宋_GBK" w:eastAsia="方正仿宋_GBK" w:cs="方正仿宋_GBK"/>
          <w:sz w:val="30"/>
          <w:szCs w:val="30"/>
          <w:highlight w:val="none"/>
        </w:rPr>
        <w:t>因重大变故，</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取消采购任务</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其他经谈判小组（评标小组）一致认定应予废标情形的</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供应商投标后拒绝签订合同或明确表示拒绝履约的。</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10、供应商有以下情形之一的，将纳入采购人不良行为记录，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11、其他要求：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本次采购过程中如产生专家评审等相关费用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采购人在中华人民共和国境内使用成交供应商提供的货物及服务时免受第三方提出的侵犯其专利权或其它知识产权的起诉。如果第三方提出侵权指控，成交供应商应承担由此而引起的一切法律责任和费用。（5）如投标人违反《中华人民共和国政府采购法》《中华人民共和国政府采购实施条例》等相关规定，采购人将按规定追究投标人法律责任。</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kern w:val="0"/>
          <w:sz w:val="30"/>
          <w:szCs w:val="30"/>
          <w:highlight w:val="none"/>
          <w:lang w:val="en-US" w:eastAsia="zh-CN"/>
        </w:rPr>
      </w:pPr>
    </w:p>
    <w:p>
      <w:pPr>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ascii="仿宋_GB2312" w:eastAsia="仿宋_GB2312"/>
          <w:b/>
        </w:rPr>
      </w:pPr>
      <w:r>
        <w:rPr>
          <w:rFonts w:hint="eastAsia" w:ascii="仿宋_GB2312" w:eastAsia="仿宋_GB2312"/>
          <w:b/>
          <w:sz w:val="32"/>
          <w:szCs w:val="32"/>
          <w:lang w:eastAsia="zh-CN"/>
        </w:rPr>
        <w:t>投标响应文件</w:t>
      </w:r>
      <w:r>
        <w:rPr>
          <w:rFonts w:hint="eastAsia" w:ascii="仿宋_GB2312" w:eastAsia="仿宋_GB2312"/>
          <w:b/>
          <w:sz w:val="32"/>
          <w:szCs w:val="32"/>
          <w:lang w:val="en-US" w:eastAsia="zh-CN"/>
        </w:rPr>
        <w:t>须胶装成册</w:t>
      </w:r>
      <w:bookmarkEnd w:id="0"/>
      <w:bookmarkEnd w:id="1"/>
      <w:bookmarkEnd w:id="2"/>
      <w:bookmarkEnd w:id="3"/>
      <w:bookmarkEnd w:id="4"/>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ascii="仿宋_GB2312" w:eastAsia="仿宋_GB2312"/>
          <w:b/>
          <w:sz w:val="44"/>
          <w:szCs w:val="32"/>
          <w:lang w:val="zh-CN"/>
        </w:rPr>
      </w:pPr>
      <w:r>
        <w:rPr>
          <w:rFonts w:hint="eastAsia" w:ascii="仿宋_GB2312" w:hAnsi="宋体" w:eastAsia="仿宋_GB2312" w:cs="宋体"/>
          <w:b/>
          <w:sz w:val="44"/>
          <w:szCs w:val="32"/>
          <w:lang w:val="zh-CN"/>
        </w:rPr>
        <w:t>项目投标书（封面）</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zh-CN"/>
        </w:rPr>
        <w:t xml:space="preserve">项目名称：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项目</w:t>
      </w:r>
      <w:r>
        <w:rPr>
          <w:rFonts w:hint="eastAsia" w:ascii="仿宋_GB2312" w:hAnsi="宋体" w:eastAsia="仿宋_GB2312" w:cs="宋体"/>
          <w:sz w:val="24"/>
          <w:lang w:val="zh-CN"/>
        </w:rPr>
        <w:t xml:space="preserve">编号：                      </w:t>
      </w:r>
    </w:p>
    <w:p>
      <w:pPr>
        <w:autoSpaceDE w:val="0"/>
        <w:autoSpaceDN w:val="0"/>
        <w:adjustRightInd w:val="0"/>
        <w:snapToGrid w:val="0"/>
        <w:spacing w:line="360" w:lineRule="auto"/>
        <w:rPr>
          <w:rFonts w:ascii="仿宋_GB2312" w:hAnsi="宋体" w:eastAsia="仿宋_GB2312" w:cs="宋体"/>
          <w:sz w:val="24"/>
          <w:lang w:val="zh-CN"/>
        </w:rPr>
      </w:pPr>
      <w:r>
        <w:rPr>
          <w:rFonts w:hint="eastAsia" w:ascii="仿宋_GB2312" w:hAnsi="宋体" w:eastAsia="仿宋_GB2312" w:cs="宋体"/>
          <w:sz w:val="24"/>
          <w:lang w:val="zh-CN"/>
        </w:rPr>
        <w:t>投标单位：（盖章）</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zh-CN"/>
        </w:rPr>
        <w:t>法定代表人：（签章）</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 xml:space="preserve">授权代表人：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联系</w:t>
      </w:r>
      <w:r>
        <w:rPr>
          <w:rFonts w:hint="eastAsia" w:ascii="仿宋_GB2312" w:hAnsi="宋体" w:eastAsia="仿宋_GB2312" w:cs="宋体"/>
          <w:sz w:val="24"/>
          <w:lang w:val="zh-CN"/>
        </w:rPr>
        <w:t xml:space="preserve">电话：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地址</w:t>
      </w:r>
      <w:r>
        <w:rPr>
          <w:rFonts w:hint="eastAsia" w:ascii="仿宋_GB2312" w:hAnsi="宋体" w:eastAsia="仿宋_GB2312" w:cs="宋体"/>
          <w:sz w:val="24"/>
          <w:lang w:val="zh-CN"/>
        </w:rPr>
        <w:t>：</w:t>
      </w:r>
    </w:p>
    <w:p>
      <w:pPr>
        <w:autoSpaceDE w:val="0"/>
        <w:autoSpaceDN w:val="0"/>
        <w:adjustRightInd w:val="0"/>
        <w:snapToGrid w:val="0"/>
        <w:spacing w:line="360" w:lineRule="auto"/>
        <w:rPr>
          <w:rFonts w:ascii="仿宋_GB2312" w:eastAsia="仿宋_GB2312"/>
          <w:sz w:val="24"/>
          <w:lang w:val="zh-CN"/>
        </w:rPr>
      </w:pPr>
    </w:p>
    <w:p>
      <w:pPr>
        <w:autoSpaceDE w:val="0"/>
        <w:autoSpaceDN w:val="0"/>
        <w:adjustRightInd w:val="0"/>
        <w:snapToGrid w:val="0"/>
        <w:spacing w:line="360" w:lineRule="auto"/>
        <w:ind w:right="480" w:firstLine="5640" w:firstLineChars="2350"/>
        <w:rPr>
          <w:rFonts w:ascii="仿宋_GB2312" w:hAnsi="宋体" w:eastAsia="仿宋_GB2312" w:cs="宋体"/>
          <w:sz w:val="24"/>
          <w:lang w:val="zh-CN"/>
        </w:rPr>
      </w:pPr>
      <w:r>
        <w:rPr>
          <w:rFonts w:hint="eastAsia" w:ascii="仿宋_GB2312" w:hAnsi="宋体" w:eastAsia="仿宋_GB2312" w:cs="宋体"/>
          <w:sz w:val="24"/>
          <w:lang w:val="zh-CN"/>
        </w:rPr>
        <w:t xml:space="preserve">年      月      日     </w:t>
      </w:r>
    </w:p>
    <w:p>
      <w:pPr>
        <w:autoSpaceDE w:val="0"/>
        <w:autoSpaceDN w:val="0"/>
        <w:adjustRightInd w:val="0"/>
        <w:snapToGrid w:val="0"/>
        <w:spacing w:line="360" w:lineRule="auto"/>
        <w:ind w:firstLine="3424" w:firstLineChars="1421"/>
        <w:rPr>
          <w:rFonts w:ascii="仿宋_GB2312" w:hAnsi="宋体" w:eastAsia="仿宋_GB2312" w:cs="宋体"/>
          <w:b/>
          <w:sz w:val="24"/>
          <w:lang w:val="zh-CN"/>
        </w:rPr>
        <w:sectPr>
          <w:pgSz w:w="11906" w:h="16838"/>
          <w:pgMar w:top="1134" w:right="1134" w:bottom="1134" w:left="1134" w:header="851" w:footer="992" w:gutter="0"/>
          <w:cols w:space="720" w:num="1"/>
          <w:docGrid w:type="lines" w:linePitch="312" w:charSpace="0"/>
        </w:sectPr>
      </w:pPr>
    </w:p>
    <w:p>
      <w:pPr>
        <w:autoSpaceDE w:val="0"/>
        <w:autoSpaceDN w:val="0"/>
        <w:adjustRightInd w:val="0"/>
        <w:snapToGrid w:val="0"/>
        <w:spacing w:line="360" w:lineRule="auto"/>
        <w:ind w:left="0" w:leftChars="0" w:firstLine="0" w:firstLineChars="0"/>
        <w:jc w:val="center"/>
        <w:rPr>
          <w:rFonts w:hint="eastAsia" w:ascii="仿宋_GB2312" w:hAnsi="宋体" w:eastAsia="仿宋_GB2312" w:cs="宋体"/>
          <w:b/>
          <w:sz w:val="24"/>
          <w:lang w:val="en-US" w:eastAsia="zh-CN"/>
        </w:rPr>
      </w:pPr>
      <w:r>
        <w:rPr>
          <w:rFonts w:hint="eastAsia" w:ascii="方正仿宋_GBK" w:hAnsi="方正仿宋_GBK" w:eastAsia="方正仿宋_GBK" w:cs="方正仿宋_GBK"/>
          <w:color w:val="auto"/>
          <w:sz w:val="30"/>
          <w:szCs w:val="30"/>
          <w:highlight w:val="none"/>
          <w:lang w:val="en-US" w:eastAsia="zh-CN"/>
        </w:rPr>
        <w:t>目  录</w:t>
      </w:r>
    </w:p>
    <w:p>
      <w:pPr>
        <w:autoSpaceDE w:val="0"/>
        <w:autoSpaceDN w:val="0"/>
        <w:adjustRightInd w:val="0"/>
        <w:snapToGrid w:val="0"/>
        <w:spacing w:line="360" w:lineRule="auto"/>
        <w:ind w:firstLine="3424" w:firstLineChars="1421"/>
        <w:rPr>
          <w:rFonts w:hint="eastAsia" w:ascii="仿宋_GB2312" w:hAnsi="宋体" w:eastAsia="仿宋_GB2312" w:cs="宋体"/>
          <w:b/>
          <w:sz w:val="24"/>
          <w:lang w:val="en-US" w:eastAsia="zh-CN"/>
        </w:rPr>
      </w:pPr>
    </w:p>
    <w:p>
      <w:pPr>
        <w:autoSpaceDE w:val="0"/>
        <w:autoSpaceDN w:val="0"/>
        <w:adjustRightInd w:val="0"/>
        <w:snapToGrid w:val="0"/>
        <w:spacing w:line="360" w:lineRule="auto"/>
        <w:ind w:left="0" w:leftChars="0" w:firstLine="0" w:firstLineChars="0"/>
        <w:jc w:val="left"/>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如：</w:t>
      </w:r>
    </w:p>
    <w:p>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lef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1.投标书................................................................................具体页码</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2.供应商资料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zh-TW" w:eastAsia="zh-CN"/>
        </w:rPr>
        <w:t>）</w:t>
      </w:r>
      <w:r>
        <w:rPr>
          <w:rFonts w:hint="eastAsia" w:ascii="方正仿宋_GBK" w:hAnsi="方正仿宋_GBK" w:eastAsia="方正仿宋_GBK" w:cs="方正仿宋_GBK"/>
          <w:color w:val="auto"/>
          <w:sz w:val="30"/>
          <w:szCs w:val="30"/>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2.1营业执照.......................................................................................</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2.2耗材经营许可证..............................................................................</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color w:val="auto"/>
          <w:sz w:val="30"/>
          <w:szCs w:val="30"/>
          <w:highlight w:val="none"/>
          <w:lang w:val="en-US" w:eastAsia="zh-CN"/>
        </w:rPr>
        <w:t>2.3</w:t>
      </w:r>
      <w:r>
        <w:rPr>
          <w:rFonts w:hint="eastAsia" w:ascii="方正仿宋_GBK" w:hAnsi="方正仿宋_GBK" w:eastAsia="方正仿宋_GBK" w:cs="方正仿宋_GBK"/>
          <w:b w:val="0"/>
          <w:kern w:val="2"/>
          <w:sz w:val="32"/>
          <w:szCs w:val="32"/>
          <w:lang w:val="en-US" w:eastAsia="zh-CN" w:bidi="ar-SA"/>
        </w:rPr>
        <w:t>基本资格条件承诺函.................................................................</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2.4</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val="en-US" w:eastAsia="zh-CN"/>
        </w:rPr>
        <w:t>及授权委托书</w:t>
      </w:r>
      <w:r>
        <w:rPr>
          <w:rFonts w:hint="eastAsia" w:ascii="方正仿宋_GBK" w:hAnsi="方正仿宋_GBK" w:eastAsia="方正仿宋_GBK" w:cs="方正仿宋_GBK"/>
          <w:b w:val="0"/>
          <w:kern w:val="2"/>
          <w:sz w:val="32"/>
          <w:szCs w:val="32"/>
          <w:lang w:val="en-US" w:eastAsia="zh-CN" w:bidi="ar-SA"/>
        </w:rPr>
        <w:t>.....</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3.</w:t>
      </w:r>
      <w:r>
        <w:rPr>
          <w:rFonts w:hint="eastAsia" w:ascii="方正仿宋_GBK" w:hAnsi="方正仿宋_GBK" w:eastAsia="方正仿宋_GBK" w:cs="方正仿宋_GBK"/>
          <w:sz w:val="30"/>
          <w:szCs w:val="30"/>
          <w:highlight w:val="none"/>
        </w:rPr>
        <w:t>投标报价表（签字并加盖企业公章）</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3.1总报价表.......................................................................................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3.2分项报价表.....................................................................................</w:t>
      </w:r>
    </w:p>
    <w:p>
      <w:pPr>
        <w:jc w:val="center"/>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3.3</w:t>
      </w:r>
      <w:r>
        <w:rPr>
          <w:rFonts w:hint="eastAsia" w:ascii="仿宋_GB2312" w:hAnsi="宋体" w:eastAsia="仿宋_GB2312" w:cs="宋体"/>
          <w:b w:val="0"/>
          <w:bCs w:val="0"/>
          <w:color w:val="auto"/>
          <w:sz w:val="28"/>
          <w:szCs w:val="21"/>
          <w:highlight w:val="yellow"/>
          <w:lang w:val="en-US" w:eastAsia="zh-CN"/>
        </w:rPr>
        <w:t>最低价销售和保障供应承诺</w:t>
      </w:r>
      <w:r>
        <w:rPr>
          <w:rFonts w:hint="eastAsia" w:ascii="仿宋_GB2312" w:hAnsi="宋体" w:eastAsia="仿宋_GB2312" w:cs="宋体"/>
          <w:b/>
          <w:bCs/>
          <w:color w:val="auto"/>
          <w:sz w:val="28"/>
          <w:szCs w:val="21"/>
          <w:lang w:val="en-US" w:eastAsia="zh-CN"/>
        </w:rPr>
        <w:t>...................</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附每个产品的相关资料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w:t>
      </w:r>
    </w:p>
    <w:p>
      <w:pPr>
        <w:pStyle w:val="3"/>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5.每个投标产品药交所挂网截图和产品的注册证或备案证（资料清晰）....</w:t>
      </w:r>
    </w:p>
    <w:p>
      <w:pPr>
        <w:snapToGrid w:val="0"/>
        <w:spacing w:line="400" w:lineRule="exact"/>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6.技术参数差异对照表和商务需求差异对照表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kern w:val="2"/>
          <w:sz w:val="30"/>
          <w:szCs w:val="30"/>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7.不得高于药交所最低成交价和重庆地区线下此耗材最低价承诺..........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8.售后服务承诺.......................................................................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9.其他单位采购合同等....................................................................</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10.投标廉政承诺书........................................................................</w:t>
      </w:r>
    </w:p>
    <w:p>
      <w:pPr>
        <w:autoSpaceDE w:val="0"/>
        <w:autoSpaceDN w:val="0"/>
        <w:adjustRightInd w:val="0"/>
        <w:snapToGrid w:val="0"/>
        <w:spacing w:line="360" w:lineRule="auto"/>
        <w:jc w:val="both"/>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sz w:val="30"/>
          <w:szCs w:val="30"/>
          <w:highlight w:val="none"/>
          <w:lang w:val="en-US" w:eastAsia="zh-CN"/>
        </w:rPr>
        <w:t>11.医用耗材合同信息表..................................................................</w:t>
      </w:r>
      <w:r>
        <w:rPr>
          <w:rFonts w:hint="eastAsia" w:ascii="方正仿宋_GBK" w:hAnsi="方正仿宋_GBK" w:eastAsia="方正仿宋_GBK" w:cs="方正仿宋_GBK"/>
          <w:b/>
          <w:sz w:val="32"/>
          <w:szCs w:val="32"/>
          <w:lang w:val="zh-CN"/>
        </w:rPr>
        <w:br w:type="page"/>
      </w:r>
      <w:r>
        <w:rPr>
          <w:rFonts w:hint="eastAsia" w:ascii="方正仿宋_GBK" w:hAnsi="方正仿宋_GBK" w:eastAsia="方正仿宋_GBK" w:cs="方正仿宋_GBK"/>
          <w:b/>
          <w:sz w:val="32"/>
          <w:szCs w:val="32"/>
          <w:lang w:val="en-US" w:eastAsia="zh-CN"/>
        </w:rPr>
        <w:t>以下资料为模板格式，未提供模板的资料格式自拟</w:t>
      </w:r>
      <w:r>
        <w:rPr>
          <w:rFonts w:hint="eastAsia" w:ascii="仿宋_GB2312" w:hAnsi="宋体" w:eastAsia="仿宋_GB2312" w:cs="宋体"/>
          <w:b/>
          <w:bCs/>
          <w:color w:val="auto"/>
          <w:sz w:val="28"/>
          <w:szCs w:val="21"/>
          <w:lang w:val="en-US" w:eastAsia="zh-CN"/>
        </w:rPr>
        <w:t>：</w:t>
      </w:r>
    </w:p>
    <w:p>
      <w:pPr>
        <w:autoSpaceDE w:val="0"/>
        <w:autoSpaceDN w:val="0"/>
        <w:adjustRightInd w:val="0"/>
        <w:snapToGrid w:val="0"/>
        <w:spacing w:line="360" w:lineRule="auto"/>
        <w:jc w:val="center"/>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b/>
          <w:sz w:val="32"/>
          <w:szCs w:val="32"/>
          <w:lang w:val="zh-CN"/>
        </w:rPr>
        <w:t>投标书</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重庆</w:t>
      </w:r>
      <w:r>
        <w:rPr>
          <w:rFonts w:hint="eastAsia" w:ascii="方正仿宋_GBK" w:hAnsi="方正仿宋_GBK" w:eastAsia="方正仿宋_GBK" w:cs="方正仿宋_GBK"/>
          <w:sz w:val="30"/>
          <w:szCs w:val="30"/>
          <w:highlight w:val="none"/>
          <w:lang w:val="en-US" w:eastAsia="zh-CN"/>
        </w:rPr>
        <w:t>市璧山区人民医院</w:t>
      </w:r>
      <w:r>
        <w:rPr>
          <w:rFonts w:hint="eastAsia" w:ascii="方正仿宋_GBK" w:hAnsi="方正仿宋_GBK" w:eastAsia="方正仿宋_GBK" w:cs="方正仿宋_GBK"/>
          <w:sz w:val="30"/>
          <w:szCs w:val="30"/>
          <w:highlight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我</w:t>
      </w:r>
      <w:r>
        <w:rPr>
          <w:rFonts w:hint="eastAsia" w:ascii="方正仿宋_GBK" w:hAnsi="方正仿宋_GBK" w:eastAsia="方正仿宋_GBK" w:cs="方正仿宋_GBK"/>
          <w:sz w:val="30"/>
          <w:szCs w:val="30"/>
          <w:highlight w:val="none"/>
          <w:lang w:val="en-US" w:eastAsia="zh-CN"/>
        </w:rPr>
        <w:t>公司</w:t>
      </w:r>
      <w:r>
        <w:rPr>
          <w:rFonts w:hint="eastAsia" w:ascii="方正仿宋_GBK" w:hAnsi="方正仿宋_GBK" w:eastAsia="方正仿宋_GBK" w:cs="方正仿宋_GBK"/>
          <w:sz w:val="30"/>
          <w:szCs w:val="30"/>
          <w:highlight w:val="none"/>
          <w:lang w:val="zh-CN" w:eastAsia="zh-CN"/>
        </w:rPr>
        <w:t>收到贵院</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的</w:t>
      </w:r>
      <w:r>
        <w:rPr>
          <w:rFonts w:hint="eastAsia" w:ascii="方正仿宋_GBK" w:hAnsi="方正仿宋_GBK" w:eastAsia="方正仿宋_GBK" w:cs="方正仿宋_GBK"/>
          <w:sz w:val="30"/>
          <w:szCs w:val="30"/>
          <w:highlight w:val="none"/>
          <w:lang w:val="en-US" w:eastAsia="zh-CN"/>
        </w:rPr>
        <w:t>询价</w:t>
      </w:r>
      <w:r>
        <w:rPr>
          <w:rFonts w:hint="eastAsia" w:ascii="方正仿宋_GBK" w:hAnsi="方正仿宋_GBK" w:eastAsia="方正仿宋_GBK" w:cs="方正仿宋_GBK"/>
          <w:sz w:val="30"/>
          <w:szCs w:val="30"/>
          <w:highlight w:val="none"/>
          <w:lang w:val="zh-CN" w:eastAsia="zh-CN"/>
        </w:rPr>
        <w:t>文件（编号</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），经详细研究，愿意参加投标，并授权下述签字人</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 xml:space="preserve"> ，全权代表我投标单位提交下述文件。文件包括：</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sz w:val="30"/>
          <w:szCs w:val="30"/>
          <w:highlight w:val="none"/>
          <w:lang w:val="en-US" w:eastAsia="zh-CN"/>
        </w:rPr>
        <w:t>一、供应商基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en-US" w:eastAsia="zh-CN"/>
        </w:rPr>
        <w:t>资料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二、供应商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三、总</w:t>
      </w:r>
      <w:r>
        <w:rPr>
          <w:rFonts w:hint="eastAsia" w:ascii="方正仿宋_GBK" w:hAnsi="方正仿宋_GBK" w:eastAsia="方正仿宋_GBK" w:cs="方正仿宋_GBK"/>
          <w:sz w:val="30"/>
          <w:szCs w:val="30"/>
          <w:highlight w:val="none"/>
        </w:rPr>
        <w:t>报价表</w:t>
      </w:r>
      <w:r>
        <w:rPr>
          <w:rFonts w:hint="eastAsia" w:ascii="方正仿宋_GBK" w:hAnsi="方正仿宋_GBK" w:eastAsia="方正仿宋_GBK" w:cs="方正仿宋_GBK"/>
          <w:sz w:val="30"/>
          <w:szCs w:val="30"/>
          <w:highlight w:val="none"/>
          <w:lang w:val="en-US" w:eastAsia="zh-CN"/>
        </w:rPr>
        <w:t>和分项报价表</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四、产品信息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五、提供每个产品的注册证或备案证，以及其在重庆市药交所产品信息查询截图，图片内容应清晰。</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sz w:val="30"/>
          <w:szCs w:val="30"/>
          <w:highlight w:val="none"/>
          <w:lang w:val="en-US" w:eastAsia="zh-CN"/>
        </w:rPr>
        <w:t>。</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六、不得高于药交所最低成交价和重庆地区线下采购最低价承诺。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七、售后服务承诺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八、其他单位采购业绩合同等</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九、投标廉政承诺书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十、医用耗材合同信息表</w:t>
      </w:r>
    </w:p>
    <w:p>
      <w:pPr>
        <w:autoSpaceDE w:val="0"/>
        <w:autoSpaceDN w:val="0"/>
        <w:adjustRightInd w:val="0"/>
        <w:snapToGrid w:val="0"/>
        <w:spacing w:line="360" w:lineRule="auto"/>
        <w:rPr>
          <w:rFonts w:hint="eastAsia" w:ascii="方正仿宋_GBK" w:hAnsi="方正仿宋_GBK" w:eastAsia="方正仿宋_GBK" w:cs="方正仿宋_GBK"/>
          <w:color w:val="auto"/>
          <w:sz w:val="32"/>
          <w:szCs w:val="32"/>
          <w:lang w:val="zh-CN"/>
        </w:rPr>
      </w:pPr>
    </w:p>
    <w:p>
      <w:pPr>
        <w:autoSpaceDE w:val="0"/>
        <w:autoSpaceDN w:val="0"/>
        <w:adjustRightInd w:val="0"/>
        <w:snapToGrid w:val="0"/>
        <w:spacing w:line="360" w:lineRule="auto"/>
        <w:ind w:left="0" w:leftChars="0" w:firstLine="4617" w:firstLineChars="1443"/>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投标单位：          （盖章）</w:t>
      </w:r>
    </w:p>
    <w:p>
      <w:pPr>
        <w:autoSpaceDE w:val="0"/>
        <w:autoSpaceDN w:val="0"/>
        <w:adjustRightInd w:val="0"/>
        <w:snapToGrid w:val="0"/>
        <w:spacing w:line="360" w:lineRule="auto"/>
        <w:ind w:left="0" w:leftChars="0" w:right="480" w:firstLine="5257" w:firstLineChars="1643"/>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color w:val="auto"/>
          <w:sz w:val="32"/>
          <w:szCs w:val="32"/>
          <w:lang w:val="zh-CN"/>
        </w:rPr>
        <w:t xml:space="preserve">年   月  </w:t>
      </w:r>
      <w:r>
        <w:rPr>
          <w:rFonts w:hint="eastAsia" w:ascii="方正仿宋_GBK" w:hAnsi="方正仿宋_GBK" w:eastAsia="方正仿宋_GBK" w:cs="方正仿宋_GBK"/>
          <w:color w:val="auto"/>
          <w:sz w:val="32"/>
          <w:szCs w:val="32"/>
          <w:lang w:val="en-US" w:eastAsia="zh-CN"/>
        </w:rPr>
        <w:t xml:space="preserve"> 日</w:t>
      </w:r>
    </w:p>
    <w:p>
      <w:pPr>
        <w:jc w:val="both"/>
        <w:rPr>
          <w:rFonts w:hint="default" w:ascii="仿宋_GB2312" w:hAnsi="Arial" w:eastAsia="仿宋_GB2312" w:cs="Times New Roman"/>
          <w:b/>
          <w:color w:val="auto"/>
          <w:kern w:val="2"/>
          <w:sz w:val="24"/>
          <w:szCs w:val="24"/>
          <w:lang w:val="en-US" w:eastAsia="zh-CN" w:bidi="ar-SA"/>
        </w:rPr>
      </w:pPr>
      <w:r>
        <w:rPr>
          <w:rFonts w:ascii="仿宋_GB2312" w:hAnsi="宋体" w:eastAsia="仿宋_GB2312" w:cs="宋体"/>
          <w:b/>
          <w:bCs/>
          <w:color w:val="auto"/>
          <w:sz w:val="28"/>
          <w:szCs w:val="21"/>
          <w:lang w:val="zh-CN"/>
        </w:rPr>
        <w:br w:type="page"/>
      </w:r>
      <w:r>
        <w:rPr>
          <w:rFonts w:hint="eastAsia" w:ascii="仿宋_GB2312" w:hAnsi="宋体" w:eastAsia="仿宋_GB2312" w:cs="宋体"/>
          <w:b/>
          <w:bCs/>
          <w:color w:val="auto"/>
          <w:sz w:val="28"/>
          <w:szCs w:val="21"/>
          <w:lang w:val="en-US" w:eastAsia="zh-CN"/>
        </w:rPr>
        <w:t>供应商</w:t>
      </w:r>
      <w:r>
        <w:rPr>
          <w:rFonts w:hint="eastAsia" w:ascii="仿宋_GB2312" w:hAnsi="Arial" w:eastAsia="仿宋_GB2312" w:cs="Times New Roman"/>
          <w:b/>
          <w:color w:val="auto"/>
          <w:kern w:val="2"/>
          <w:sz w:val="32"/>
          <w:szCs w:val="32"/>
          <w:lang w:val="en-US" w:eastAsia="zh-CN" w:bidi="ar-SA"/>
        </w:rPr>
        <w:t>资格条件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如公司营业执照（须圈出符合资质要求的经营范围和有效期；如医疗器械销售须提供医疗器械销售资质）</w:t>
      </w: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；6.法律、行政法规规定的其他条件。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val="zh-TW" w:eastAsia="zh-TW"/>
        </w:rPr>
        <w:t>若所投产品属于第二类或第三类医疗器械的，应提供中国境内合法的《医疗器械注册证》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zh-TW" w:eastAsia="zh-TW"/>
        </w:rPr>
        <w:t>3.若所投产品属于药品的，应提供《药品经营许可证》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en-US" w:eastAsia="zh-CN"/>
        </w:rPr>
        <w:t>4.产品需要冷链运输的，应具备相关资质或提供冷链运输企业的合作协议。</w:t>
      </w:r>
    </w:p>
    <w:p>
      <w:pPr>
        <w:autoSpaceDE w:val="0"/>
        <w:autoSpaceDN w:val="0"/>
        <w:adjustRightInd w:val="0"/>
        <w:snapToGrid w:val="0"/>
        <w:spacing w:line="360" w:lineRule="auto"/>
        <w:jc w:val="left"/>
        <w:rPr>
          <w:rFonts w:hint="default" w:ascii="仿宋_GB2312" w:hAnsi="宋体" w:eastAsia="仿宋_GB2312" w:cs="宋体"/>
          <w:b/>
          <w:bCs/>
          <w:color w:val="auto"/>
          <w:sz w:val="28"/>
          <w:szCs w:val="21"/>
          <w:lang w:val="en-US" w:eastAsia="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sectPr>
          <w:pgSz w:w="11906" w:h="16838"/>
          <w:pgMar w:top="1134" w:right="1134" w:bottom="1134" w:left="1134" w:header="851" w:footer="992" w:gutter="0"/>
          <w:cols w:space="720" w:num="1"/>
          <w:docGrid w:type="lines" w:linePitch="312" w:charSpace="0"/>
        </w:sectPr>
      </w:pPr>
    </w:p>
    <w:p>
      <w:pPr>
        <w:pStyle w:val="2"/>
        <w:tabs>
          <w:tab w:val="left" w:pos="720"/>
        </w:tabs>
        <w:adjustRightInd w:val="0"/>
        <w:snapToGrid w:val="0"/>
        <w:spacing w:line="360" w:lineRule="auto"/>
        <w:jc w:val="left"/>
        <w:rPr>
          <w:rFonts w:hint="eastAsia" w:ascii="方正仿宋_GBK" w:hAnsi="方正仿宋_GBK" w:eastAsia="方正仿宋_GBK" w:cs="方正仿宋_GBK"/>
          <w:b w:val="0"/>
          <w:color w:val="auto"/>
          <w:kern w:val="2"/>
          <w:sz w:val="32"/>
          <w:szCs w:val="32"/>
          <w:lang w:val="en-US" w:eastAsia="zh-CN" w:bidi="zh-CN"/>
        </w:rPr>
      </w:pPr>
      <w:r>
        <w:rPr>
          <w:rFonts w:hint="eastAsia" w:ascii="方正仿宋_GBK" w:hAnsi="方正仿宋_GBK" w:eastAsia="方正仿宋_GBK" w:cs="方正仿宋_GBK"/>
          <w:b w:val="0"/>
          <w:color w:val="auto"/>
          <w:kern w:val="2"/>
          <w:sz w:val="32"/>
          <w:szCs w:val="32"/>
          <w:lang w:val="en-US" w:eastAsia="zh-CN" w:bidi="zh-CN"/>
        </w:rPr>
        <w:t>基本资格条件承诺函</w:t>
      </w:r>
    </w:p>
    <w:p>
      <w:pPr>
        <w:spacing w:line="5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kern w:val="2"/>
          <w:sz w:val="32"/>
          <w:szCs w:val="32"/>
          <w:lang w:val="en-US" w:eastAsia="zh-CN" w:bidi="ar-SA"/>
        </w:rPr>
        <w:t>基本资格条件承诺函</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致重庆市璧山区人民医院：</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（投标人名称）郑重承诺：</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"http://www.ccgp.gov.cn)"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www.ccgp.gov.cn）“政府采购严重违法失信行为记录名单”中。</w:t>
      </w:r>
      <w:r>
        <w:rPr>
          <w:rFonts w:hint="eastAsia" w:ascii="方正仿宋_GBK" w:hAnsi="方正仿宋_GBK" w:eastAsia="方正仿宋_GBK" w:cs="方正仿宋_GBK"/>
          <w:sz w:val="32"/>
          <w:szCs w:val="32"/>
        </w:rPr>
        <w:fldChar w:fldCharType="end"/>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3.我方在采购项目评审（ 评标）环节结束后，随时接受采购人、采购代理机构的检查验证，配合提供相关证明材料，证明符合《中华人民共和国政府采购法》规定的投标人基本资格条件。</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我方对以上承诺负全部法律责任。</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特此承诺。</w:t>
      </w: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（供应商公章）</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pStyle w:val="2"/>
        <w:tabs>
          <w:tab w:val="left" w:pos="720"/>
        </w:tabs>
        <w:adjustRightInd w:val="0"/>
        <w:snapToGrid w:val="0"/>
        <w:spacing w:line="360" w:lineRule="auto"/>
        <w:jc w:val="left"/>
        <w:rPr>
          <w:rFonts w:hint="eastAsia" w:eastAsia="仿宋_GB2312"/>
          <w:color w:val="auto"/>
          <w:lang w:val="en-US" w:eastAsia="zh-CN"/>
        </w:rPr>
      </w:pPr>
      <w:r>
        <w:rPr>
          <w:rFonts w:hint="eastAsia"/>
          <w:color w:val="auto"/>
        </w:rPr>
        <w:br w:type="page"/>
      </w:r>
      <w:r>
        <w:rPr>
          <w:rFonts w:hint="eastAsia" w:ascii="仿宋_GB2312" w:hAnsi="宋体" w:eastAsia="仿宋_GB2312" w:cs="宋体"/>
          <w:b w:val="0"/>
          <w:color w:val="auto"/>
          <w:kern w:val="2"/>
          <w:sz w:val="32"/>
          <w:szCs w:val="32"/>
          <w:lang w:val="en-US" w:eastAsia="zh-CN" w:bidi="zh-CN"/>
        </w:rPr>
        <w:t>法定代表人身份证明书</w:t>
      </w:r>
    </w:p>
    <w:p>
      <w:pPr>
        <w:pStyle w:val="2"/>
        <w:tabs>
          <w:tab w:val="left" w:pos="720"/>
        </w:tabs>
        <w:adjustRightInd w:val="0"/>
        <w:snapToGrid w:val="0"/>
        <w:spacing w:line="360" w:lineRule="auto"/>
        <w:ind w:left="7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法定代表人身份证明书（格式）</w:t>
      </w:r>
    </w:p>
    <w:p>
      <w:pPr>
        <w:tabs>
          <w:tab w:val="left" w:pos="6300"/>
        </w:tabs>
        <w:adjustRightInd w:val="0"/>
        <w:snapToGrid w:val="0"/>
        <w:spacing w:line="360" w:lineRule="auto"/>
        <w:ind w:firstLine="4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（法定代表人姓名）      </w:t>
      </w:r>
      <w:r>
        <w:rPr>
          <w:rFonts w:hint="eastAsia" w:ascii="方正仿宋_GBK" w:hAnsi="方正仿宋_GBK" w:eastAsia="方正仿宋_GBK" w:cs="方正仿宋_GBK"/>
          <w:color w:val="auto"/>
          <w:sz w:val="32"/>
          <w:szCs w:val="32"/>
        </w:rPr>
        <w:t>在</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任</w:t>
      </w:r>
      <w:r>
        <w:rPr>
          <w:rFonts w:hint="eastAsia" w:ascii="方正仿宋_GBK" w:hAnsi="方正仿宋_GBK" w:eastAsia="方正仿宋_GBK" w:cs="方正仿宋_GBK"/>
          <w:color w:val="auto"/>
          <w:sz w:val="32"/>
          <w:szCs w:val="32"/>
          <w:u w:val="single"/>
        </w:rPr>
        <w:t xml:space="preserve">（职务名称）      </w:t>
      </w:r>
      <w:r>
        <w:rPr>
          <w:rFonts w:hint="eastAsia" w:ascii="方正仿宋_GBK" w:hAnsi="方正仿宋_GBK" w:eastAsia="方正仿宋_GBK" w:cs="方正仿宋_GBK"/>
          <w:color w:val="auto"/>
          <w:sz w:val="32"/>
          <w:szCs w:val="32"/>
        </w:rPr>
        <w:t>职务，是</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的法定代表人。</w:t>
      </w:r>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bookmarkStart w:id="5" w:name="_Toc128229745"/>
      <w:bookmarkStart w:id="6" w:name="_Toc156815770"/>
      <w:bookmarkStart w:id="7" w:name="_Toc166139912"/>
      <w:bookmarkStart w:id="8" w:name="_Toc156730450"/>
      <w:bookmarkStart w:id="9" w:name="_Toc166549448"/>
      <w:bookmarkStart w:id="10" w:name="_Toc156196559"/>
      <w:bookmarkStart w:id="11" w:name="_Toc175017342"/>
      <w:bookmarkStart w:id="12" w:name="_Toc173677397"/>
      <w:bookmarkStart w:id="13" w:name="_Toc128229302"/>
      <w:bookmarkStart w:id="14" w:name="_Toc128229916"/>
      <w:bookmarkStart w:id="15" w:name="_Toc156196470"/>
      <w:r>
        <w:rPr>
          <w:rFonts w:hint="eastAsia" w:ascii="方正仿宋_GBK" w:hAnsi="方正仿宋_GBK" w:eastAsia="方正仿宋_GBK" w:cs="方正仿宋_GBK"/>
          <w:color w:val="auto"/>
          <w:sz w:val="32"/>
          <w:szCs w:val="32"/>
        </w:rPr>
        <w:t>特此证明。</w:t>
      </w:r>
      <w:bookmarkEnd w:id="5"/>
      <w:bookmarkEnd w:id="6"/>
      <w:bookmarkEnd w:id="7"/>
      <w:bookmarkEnd w:id="8"/>
      <w:bookmarkEnd w:id="9"/>
      <w:bookmarkEnd w:id="10"/>
      <w:bookmarkEnd w:id="11"/>
      <w:bookmarkEnd w:id="12"/>
      <w:bookmarkEnd w:id="13"/>
      <w:bookmarkEnd w:id="14"/>
      <w:bookmarkEnd w:id="15"/>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bookmarkStart w:id="16" w:name="_Toc166139913"/>
      <w:bookmarkStart w:id="17" w:name="_Toc128229746"/>
      <w:bookmarkStart w:id="18" w:name="_Toc156196560"/>
      <w:bookmarkStart w:id="19" w:name="_Toc156196471"/>
      <w:bookmarkStart w:id="20" w:name="_Toc156730451"/>
      <w:bookmarkStart w:id="21" w:name="_Toc128229303"/>
      <w:bookmarkStart w:id="22" w:name="_Toc166549449"/>
      <w:bookmarkStart w:id="23" w:name="_Toc173677398"/>
      <w:bookmarkStart w:id="24" w:name="_Toc128229917"/>
      <w:bookmarkStart w:id="25" w:name="_Toc175017343"/>
      <w:bookmarkStart w:id="26" w:name="_Toc156815771"/>
      <w:r>
        <w:rPr>
          <w:rFonts w:hint="eastAsia" w:ascii="方正仿宋_GBK" w:hAnsi="方正仿宋_GBK" w:eastAsia="方正仿宋_GBK" w:cs="方正仿宋_GBK"/>
          <w:color w:val="auto"/>
          <w:sz w:val="32"/>
          <w:szCs w:val="32"/>
        </w:rPr>
        <w:t xml:space="preserve">  投标人全称</w:t>
      </w:r>
      <w:bookmarkEnd w:id="16"/>
      <w:bookmarkEnd w:id="17"/>
      <w:bookmarkEnd w:id="18"/>
      <w:bookmarkEnd w:id="19"/>
      <w:bookmarkEnd w:id="20"/>
      <w:bookmarkEnd w:id="21"/>
      <w:bookmarkEnd w:id="22"/>
      <w:bookmarkEnd w:id="23"/>
      <w:bookmarkEnd w:id="24"/>
      <w:bookmarkEnd w:id="25"/>
      <w:bookmarkEnd w:id="26"/>
      <w:r>
        <w:rPr>
          <w:rFonts w:hint="eastAsia" w:ascii="方正仿宋_GBK" w:hAnsi="方正仿宋_GBK" w:eastAsia="方正仿宋_GBK" w:cs="方正仿宋_GBK"/>
          <w:color w:val="auto"/>
          <w:sz w:val="32"/>
          <w:szCs w:val="32"/>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方正仿宋_GBK" w:hAnsi="方正仿宋_GBK" w:eastAsia="方正仿宋_GBK" w:cs="方正仿宋_GBK"/>
          <w:color w:val="auto"/>
          <w:sz w:val="32"/>
          <w:szCs w:val="32"/>
        </w:rPr>
        <w:t xml:space="preserve">                                      年   月   日</w:t>
      </w:r>
      <w:r>
        <w:rPr>
          <w:rFonts w:hint="eastAsia" w:ascii="仿宋_GB2312" w:hAnsi="宋体" w:eastAsia="仿宋_GB2312"/>
          <w:color w:val="auto"/>
          <w:sz w:val="24"/>
        </w:rPr>
        <w:t xml:space="preserve">            </w:t>
      </w:r>
    </w:p>
    <w:p>
      <w:pPr>
        <w:pStyle w:val="2"/>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7" w:name="_Toc237057793"/>
      <w:bookmarkStart w:id="28" w:name="_Toc128014297"/>
      <w:bookmarkStart w:id="29" w:name="_Toc173677399"/>
      <w:bookmarkStart w:id="30" w:name="_Toc128229304"/>
      <w:bookmarkStart w:id="31" w:name="_Toc156196472"/>
      <w:bookmarkStart w:id="32" w:name="_Toc175017344"/>
      <w:bookmarkStart w:id="33" w:name="_Toc128229747"/>
    </w:p>
    <w:p>
      <w:pPr>
        <w:pStyle w:val="2"/>
        <w:tabs>
          <w:tab w:val="left" w:pos="720"/>
        </w:tabs>
        <w:adjustRightInd w:val="0"/>
        <w:snapToGrid w:val="0"/>
        <w:spacing w:line="360" w:lineRule="auto"/>
        <w:ind w:left="720" w:leftChars="0" w:hanging="720" w:hangingChars="225"/>
        <w:jc w:val="left"/>
        <w:rPr>
          <w:rFonts w:hint="eastAsia" w:ascii="仿宋_GB2312" w:hAnsi="宋体" w:eastAsia="仿宋_GB2312" w:cs="宋体"/>
          <w:b w:val="0"/>
          <w:color w:val="auto"/>
          <w:kern w:val="2"/>
          <w:sz w:val="32"/>
          <w:szCs w:val="32"/>
          <w:lang w:val="en-US" w:eastAsia="zh-CN" w:bidi="zh-CN"/>
        </w:rPr>
      </w:pPr>
      <w:r>
        <w:rPr>
          <w:rFonts w:hint="eastAsia" w:ascii="仿宋_GB2312" w:hAnsi="宋体" w:eastAsia="仿宋_GB2312" w:cs="宋体"/>
          <w:b w:val="0"/>
          <w:color w:val="auto"/>
          <w:kern w:val="2"/>
          <w:sz w:val="32"/>
          <w:szCs w:val="32"/>
          <w:lang w:val="en-US" w:eastAsia="zh-CN" w:bidi="zh-CN"/>
        </w:rPr>
        <w:t>法定代表人授权委托书</w:t>
      </w:r>
      <w:bookmarkEnd w:id="27"/>
      <w:bookmarkEnd w:id="28"/>
      <w:bookmarkEnd w:id="29"/>
      <w:bookmarkEnd w:id="30"/>
      <w:bookmarkEnd w:id="31"/>
      <w:bookmarkEnd w:id="32"/>
      <w:bookmarkEnd w:id="33"/>
    </w:p>
    <w:p>
      <w:pPr>
        <w:keepNext w:val="0"/>
        <w:keepLines w:val="0"/>
        <w:pageBreakBefore w:val="0"/>
        <w:widowControl w:val="0"/>
        <w:numPr>
          <w:ilvl w:val="0"/>
          <w:numId w:val="0"/>
        </w:numPr>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投标人法定代表人授权委托书</w:t>
      </w:r>
    </w:p>
    <w:p>
      <w:pPr>
        <w:pStyle w:val="4"/>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邀标文件编号：</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邀标项目名称：</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授 权 </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期：</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default" w:ascii="方正仿宋_GBK" w:hAnsi="方正仿宋_GBK" w:eastAsia="方正仿宋_GBK" w:cs="方正仿宋_GBK"/>
          <w:color w:val="auto"/>
          <w:sz w:val="32"/>
          <w:szCs w:val="32"/>
          <w:u w:val="single"/>
          <w:lang w:val="en-US" w:eastAsia="zh-CN"/>
        </w:rPr>
      </w:pPr>
      <w:r>
        <w:rPr>
          <w:rFonts w:hint="eastAsia" w:ascii="方正仿宋_GBK" w:hAnsi="方正仿宋_GBK" w:eastAsia="方正仿宋_GBK" w:cs="方正仿宋_GBK"/>
          <w:color w:val="auto"/>
          <w:sz w:val="32"/>
          <w:szCs w:val="32"/>
        </w:rPr>
        <w:t>致：</w:t>
      </w:r>
      <w:r>
        <w:rPr>
          <w:rFonts w:hint="eastAsia" w:ascii="方正仿宋_GBK" w:hAnsi="方正仿宋_GBK" w:eastAsia="方正仿宋_GBK" w:cs="方正仿宋_GBK"/>
          <w:color w:val="auto"/>
          <w:sz w:val="32"/>
          <w:szCs w:val="32"/>
          <w:u w:val="single"/>
          <w:lang w:eastAsia="zh-CN"/>
        </w:rPr>
        <w:t>重庆</w:t>
      </w:r>
      <w:r>
        <w:rPr>
          <w:rFonts w:hint="eastAsia" w:ascii="方正仿宋_GBK" w:hAnsi="方正仿宋_GBK" w:eastAsia="方正仿宋_GBK" w:cs="方正仿宋_GBK"/>
          <w:color w:val="auto"/>
          <w:sz w:val="32"/>
          <w:szCs w:val="32"/>
          <w:u w:val="single"/>
          <w:lang w:val="en-US" w:eastAsia="zh-CN"/>
        </w:rPr>
        <w:t>市璧山区人民医院</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（投标人名称）</w:t>
      </w:r>
      <w:r>
        <w:rPr>
          <w:rFonts w:hint="eastAsia" w:ascii="方正仿宋_GBK" w:hAnsi="方正仿宋_GBK" w:eastAsia="方正仿宋_GBK" w:cs="方正仿宋_GBK"/>
          <w:color w:val="auto"/>
          <w:sz w:val="32"/>
          <w:szCs w:val="32"/>
        </w:rPr>
        <w:t>是中华人民共和国合法企业，法定地址</w:t>
      </w:r>
      <w:r>
        <w:rPr>
          <w:rFonts w:hint="eastAsia" w:ascii="方正仿宋_GBK" w:hAnsi="方正仿宋_GBK" w:eastAsia="方正仿宋_GBK" w:cs="方正仿宋_GBK"/>
          <w:color w:val="auto"/>
          <w:sz w:val="32"/>
          <w:szCs w:val="32"/>
          <w:u w:val="single"/>
        </w:rPr>
        <w:t xml:space="preserve">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（投标人法定代表人姓名）</w:t>
      </w:r>
      <w:r>
        <w:rPr>
          <w:rFonts w:hint="eastAsia" w:ascii="方正仿宋_GBK" w:hAnsi="方正仿宋_GBK" w:eastAsia="方正仿宋_GBK" w:cs="方正仿宋_GBK"/>
          <w:color w:val="auto"/>
          <w:sz w:val="32"/>
          <w:szCs w:val="32"/>
        </w:rPr>
        <w:t>特授权</w:t>
      </w:r>
      <w:r>
        <w:rPr>
          <w:rFonts w:hint="eastAsia" w:ascii="方正仿宋_GBK" w:hAnsi="方正仿宋_GBK" w:eastAsia="方正仿宋_GBK" w:cs="方正仿宋_GBK"/>
          <w:color w:val="auto"/>
          <w:sz w:val="32"/>
          <w:szCs w:val="32"/>
          <w:u w:val="single"/>
        </w:rPr>
        <w:t xml:space="preserve">                 （被授权人姓名及身份证代码</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lang w:val="en-US" w:eastAsia="zh-CN"/>
        </w:rPr>
        <w:t>电话号码</w:t>
      </w:r>
      <w:r>
        <w:rPr>
          <w:rFonts w:hint="eastAsia" w:ascii="方正仿宋_GBK" w:hAnsi="方正仿宋_GBK" w:eastAsia="方正仿宋_GBK" w:cs="方正仿宋_GBK"/>
          <w:color w:val="auto"/>
          <w:sz w:val="32"/>
          <w:szCs w:val="32"/>
          <w:u w:val="single"/>
        </w:rPr>
        <w:t>）</w:t>
      </w:r>
      <w:r>
        <w:rPr>
          <w:rFonts w:hint="eastAsia" w:ascii="方正仿宋_GBK" w:hAnsi="方正仿宋_GBK" w:eastAsia="方正仿宋_GBK" w:cs="方正仿宋_GBK"/>
          <w:color w:val="auto"/>
          <w:sz w:val="32"/>
          <w:szCs w:val="32"/>
        </w:rPr>
        <w:t>代表我单位全权办理对上述项目的投标、谈判、签约等具体工作，并签署全部有关的文件、协议及合同。</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我单位对被授权人的签名负全部责任。</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在撤消授权的书面通知以前，本授权书一直有效。被授权人签署的所有文件（在授权书有效期内签署的）不因授权的撤消而失效。</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745" w:firstLineChars="233"/>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被授权人签名：                  投标人法定代表人签名：</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职  务：                        职  务：</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800" w:firstLineChars="25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联系电话：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（附身份证或护照复印件）</w:t>
      </w:r>
    </w:p>
    <w:p>
      <w:pPr>
        <w:pStyle w:val="19"/>
        <w:numPr>
          <w:ilvl w:val="0"/>
          <w:numId w:val="0"/>
        </w:numPr>
        <w:tabs>
          <w:tab w:val="clear" w:pos="3600"/>
        </w:tabs>
        <w:ind w:left="2880" w:leftChars="0"/>
        <w:rPr>
          <w:rFonts w:hint="eastAsia"/>
        </w:rPr>
      </w:pPr>
    </w:p>
    <w:p>
      <w:pPr>
        <w:rPr>
          <w:rFonts w:hint="eastAsia"/>
        </w:rPr>
      </w:pP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投标人公章：</w:t>
      </w:r>
    </w:p>
    <w:p>
      <w:pPr>
        <w:pStyle w:val="7"/>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r>
        <w:rPr>
          <w:rFonts w:hint="eastAsia" w:ascii="方正仿宋_GBK" w:hAnsi="方正仿宋_GBK" w:eastAsia="方正仿宋_GBK" w:cs="方正仿宋_GBK"/>
          <w:sz w:val="32"/>
          <w:szCs w:val="32"/>
          <w:lang w:val="en-US" w:eastAsia="zh-CN"/>
        </w:rPr>
        <w:t>总报价表</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pPr>
        <w:pStyle w:val="7"/>
        <w:numPr>
          <w:ilvl w:val="0"/>
          <w:numId w:val="0"/>
        </w:numPr>
        <w:ind w:firstLine="643"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pPr>
        <w:pStyle w:val="7"/>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1．愿意按照询价采购文件中的一切要求，提供本项目的所有产品，结合预估用量和单价所得总价为人民币大写：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元。（本产品总价为预估用量*供应商报价，预估用量不做采购承诺，以实际用量据实结算）</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pPr>
        <w:pStyle w:val="7"/>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pPr>
        <w:tabs>
          <w:tab w:val="left" w:pos="2895"/>
        </w:tabs>
        <w:spacing w:line="600" w:lineRule="exact"/>
        <w:ind w:firstLine="640"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pPr>
        <w:jc w:val="center"/>
        <w:rPr>
          <w:rFonts w:ascii="微软雅黑" w:hAnsi="微软雅黑" w:eastAsia="微软雅黑" w:cs="微软雅黑"/>
          <w:b/>
          <w:bCs/>
          <w:sz w:val="32"/>
          <w:szCs w:val="32"/>
        </w:rPr>
      </w:pPr>
      <w:r>
        <w:rPr>
          <w:rFonts w:hint="eastAsia" w:ascii="方正仿宋_GBK" w:hAnsi="方正仿宋_GBK" w:eastAsia="方正仿宋_GBK" w:cs="方正仿宋_GBK"/>
          <w:sz w:val="32"/>
          <w:szCs w:val="32"/>
          <w:lang w:val="en-US" w:eastAsia="zh-CN"/>
        </w:rPr>
        <w:br w:type="page"/>
      </w:r>
      <w:r>
        <w:rPr>
          <w:rFonts w:hint="eastAsia" w:ascii="微软雅黑" w:hAnsi="微软雅黑" w:eastAsia="微软雅黑" w:cs="微软雅黑"/>
          <w:b/>
          <w:bCs/>
          <w:sz w:val="32"/>
          <w:szCs w:val="32"/>
          <w:lang w:val="en-US" w:eastAsia="zh-CN"/>
        </w:rPr>
        <w:t>每项产品</w:t>
      </w:r>
      <w:r>
        <w:rPr>
          <w:rFonts w:hint="eastAsia" w:ascii="微软雅黑" w:hAnsi="微软雅黑" w:eastAsia="微软雅黑" w:cs="微软雅黑"/>
          <w:b/>
          <w:bCs/>
          <w:sz w:val="32"/>
          <w:szCs w:val="32"/>
        </w:rPr>
        <w:t>报价明细表</w:t>
      </w:r>
    </w:p>
    <w:tbl>
      <w:tblPr>
        <w:tblStyle w:val="9"/>
        <w:tblpPr w:leftFromText="180" w:rightFromText="180" w:vertAnchor="text" w:horzAnchor="margin" w:tblpY="268"/>
        <w:tblOverlap w:val="never"/>
        <w:tblW w:w="10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276"/>
        <w:gridCol w:w="1658"/>
        <w:gridCol w:w="1300"/>
        <w:gridCol w:w="1436"/>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276"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658"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300" w:type="dxa"/>
            <w:noWrap w:val="0"/>
            <w:vAlign w:val="center"/>
          </w:tcPr>
          <w:p>
            <w:pPr>
              <w:spacing w:line="300" w:lineRule="exact"/>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报价</w:t>
            </w:r>
            <w:r>
              <w:rPr>
                <w:rFonts w:hint="eastAsia" w:ascii="微软雅黑" w:hAnsi="微软雅黑" w:eastAsia="微软雅黑" w:cs="微软雅黑"/>
                <w:b/>
                <w:sz w:val="24"/>
                <w:szCs w:val="24"/>
              </w:rPr>
              <w:t>单价</w:t>
            </w:r>
          </w:p>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（元）</w:t>
            </w:r>
          </w:p>
        </w:tc>
        <w:tc>
          <w:tcPr>
            <w:tcW w:w="1436" w:type="dxa"/>
            <w:noWrap w:val="0"/>
            <w:vAlign w:val="center"/>
          </w:tcPr>
          <w:p>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highlight w:val="yellow"/>
                <w:lang w:val="en-US" w:eastAsia="zh-CN"/>
              </w:rPr>
              <w:t>采购方式（选填线上采购或线上备案采购）</w:t>
            </w:r>
          </w:p>
        </w:tc>
        <w:tc>
          <w:tcPr>
            <w:tcW w:w="1276" w:type="dxa"/>
            <w:noWrap w:val="0"/>
            <w:vAlign w:val="center"/>
          </w:tcPr>
          <w:p>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lang w:val="en-US" w:eastAsia="zh-CN"/>
              </w:rPr>
              <w:t>预估用量</w:t>
            </w:r>
          </w:p>
        </w:tc>
        <w:tc>
          <w:tcPr>
            <w:tcW w:w="1275"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sdt>
          <w:sdtPr>
            <w:rPr>
              <w:rFonts w:ascii="微软雅黑" w:hAnsi="微软雅黑" w:eastAsia="微软雅黑" w:cs="微软雅黑"/>
              <w:kern w:val="2"/>
              <w:sz w:val="24"/>
              <w:szCs w:val="24"/>
              <w:lang w:val="en-US" w:eastAsia="zh-CN" w:bidi="ar-SA"/>
            </w:rPr>
            <w:alias w:val="采购方式"/>
            <w:id w:val="147473833"/>
            <w:placeholder>
              <w:docPart w:val="{97d24a6c-b63f-4b7a-859f-7e19df812eec}"/>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tc>
              <w:tcPr>
                <w:tcW w:w="1436" w:type="dxa"/>
                <w:noWrap w:val="0"/>
                <w:vAlign w:val="top"/>
              </w:tcPr>
              <w:p>
                <w:pPr>
                  <w:spacing w:line="300" w:lineRule="exact"/>
                  <w:rPr>
                    <w:rFonts w:ascii="微软雅黑" w:hAnsi="微软雅黑" w:eastAsia="微软雅黑" w:cs="微软雅黑"/>
                    <w:sz w:val="24"/>
                    <w:szCs w:val="24"/>
                  </w:rPr>
                </w:pPr>
                <w:r>
                  <w:rPr>
                    <w:rFonts w:ascii="微软雅黑" w:hAnsi="微软雅黑" w:eastAsia="微软雅黑" w:cs="微软雅黑"/>
                    <w:kern w:val="2"/>
                    <w:sz w:val="24"/>
                    <w:szCs w:val="24"/>
                    <w:lang w:val="en-US" w:eastAsia="zh-CN" w:bidi="ar-SA"/>
                  </w:rPr>
                  <w:t>药交所线上采购</w:t>
                </w:r>
              </w:p>
            </w:tc>
          </w:sdtContent>
        </w:sdt>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8426"/>
              <w:placeholder>
                <w:docPart w:val="{4755b2f9-e2ef-4414-91f6-039239af3052}"/>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7131"/>
              <w:placeholder>
                <w:docPart w:val="{9accb560-9c52-468b-bdb7-577a62b2f1dc}"/>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5022"/>
              <w:placeholder>
                <w:docPart w:val="{914031a2-64af-4179-8eb5-e4265f6540a4}"/>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83007"/>
              <w:placeholder>
                <w:docPart w:val="{04779044-3567-4cbf-b813-756178d14167}"/>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3888"/>
              <w:placeholder>
                <w:docPart w:val="{2c229ad4-efe3-46d4-bf14-f4f33bcf04af}"/>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pPr>
              <w:spacing w:line="300" w:lineRule="exact"/>
              <w:rPr>
                <w:rFonts w:hint="default" w:ascii="微软雅黑" w:hAnsi="微软雅黑" w:eastAsia="微软雅黑" w:cs="微软雅黑"/>
                <w:sz w:val="24"/>
                <w:szCs w:val="24"/>
                <w:lang w:val="en-US" w:eastAsia="zh-CN"/>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7539"/>
              <w:placeholder>
                <w:docPart w:val="{11471fa2-f1b6-497a-9395-019fbf1fa4df}"/>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2939"/>
              <w:placeholder>
                <w:docPart w:val="{94dff7fd-3eb4-472e-821d-242a27600750}"/>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5152"/>
              <w:placeholder>
                <w:docPart w:val="{c241c932-466d-4c35-a424-08137900d520}"/>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3223"/>
              <w:placeholder>
                <w:docPart w:val="{3e207afe-2432-478e-8867-407f166a28cc}"/>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p>
        </w:tc>
        <w:tc>
          <w:tcPr>
            <w:tcW w:w="1543" w:type="dxa"/>
            <w:noWrap w:val="0"/>
            <w:vAlign w:val="center"/>
          </w:tcPr>
          <w:p>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1276" w:type="dxa"/>
            <w:noWrap w:val="0"/>
            <w:vAlign w:val="center"/>
          </w:tcPr>
          <w:p>
            <w:pPr>
              <w:spacing w:line="300" w:lineRule="exact"/>
              <w:rPr>
                <w:rFonts w:ascii="微软雅黑" w:hAnsi="微软雅黑" w:eastAsia="微软雅黑" w:cs="微软雅黑"/>
                <w:sz w:val="24"/>
                <w:szCs w:val="24"/>
              </w:rPr>
            </w:pPr>
          </w:p>
        </w:tc>
        <w:tc>
          <w:tcPr>
            <w:tcW w:w="6945" w:type="dxa"/>
            <w:gridSpan w:val="5"/>
            <w:noWrap w:val="0"/>
            <w:vAlign w:val="center"/>
          </w:tcPr>
          <w:p>
            <w:pPr>
              <w:spacing w:line="300" w:lineRule="exact"/>
              <w:rPr>
                <w:rFonts w:ascii="微软雅黑" w:hAnsi="微软雅黑" w:eastAsia="微软雅黑" w:cs="微软雅黑"/>
                <w:sz w:val="24"/>
                <w:szCs w:val="24"/>
              </w:rPr>
            </w:pPr>
          </w:p>
        </w:tc>
      </w:tr>
    </w:tbl>
    <w:p>
      <w:pPr>
        <w:snapToGrid w:val="0"/>
        <w:spacing w:line="600" w:lineRule="exact"/>
        <w:ind w:firstLine="900"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pPr>
        <w:snapToGrid w:val="0"/>
        <w:spacing w:line="600" w:lineRule="exact"/>
        <w:ind w:firstLine="1800" w:firstLineChars="600"/>
        <w:rPr>
          <w:rFonts w:hint="default"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2.采购方式处，从下拉菜单中选择”药交所线上采购“或”药交所线上备案采购“，否则视为无效响应。</w:t>
      </w:r>
    </w:p>
    <w:p>
      <w:pPr>
        <w:tabs>
          <w:tab w:val="left" w:pos="6300"/>
        </w:tabs>
        <w:snapToGrid w:val="0"/>
        <w:spacing w:line="600" w:lineRule="exact"/>
        <w:ind w:firstLine="600"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pPr>
        <w:rPr>
          <w:rFonts w:ascii="仿宋_GB2312" w:hAnsi="宋体" w:eastAsia="仿宋_GB2312" w:cs="宋体"/>
          <w:b/>
          <w:bCs/>
          <w:color w:val="auto"/>
          <w:sz w:val="28"/>
          <w:szCs w:val="21"/>
          <w:lang w:val="zh-CN"/>
        </w:rPr>
      </w:pPr>
      <w:r>
        <w:rPr>
          <w:rFonts w:ascii="仿宋_GB2312" w:hAnsi="宋体" w:eastAsia="仿宋_GB2312" w:cs="宋体"/>
          <w:b/>
          <w:bCs/>
          <w:color w:val="auto"/>
          <w:sz w:val="28"/>
          <w:szCs w:val="21"/>
          <w:lang w:val="zh-CN"/>
        </w:rPr>
        <w:br w:type="page"/>
      </w:r>
    </w:p>
    <w:p>
      <w:pPr>
        <w:jc w:val="center"/>
        <w:rPr>
          <w:rFonts w:hint="eastAsia" w:ascii="仿宋_GB2312" w:hAnsi="宋体" w:eastAsia="仿宋_GB2312" w:cs="宋体"/>
          <w:b/>
          <w:bCs/>
          <w:color w:val="auto"/>
          <w:sz w:val="28"/>
          <w:szCs w:val="21"/>
          <w:lang w:val="en-US" w:eastAsia="zh-CN"/>
        </w:rPr>
      </w:pPr>
      <w:r>
        <w:rPr>
          <w:rFonts w:hint="eastAsia" w:ascii="仿宋_GB2312" w:hAnsi="宋体" w:eastAsia="仿宋_GB2312" w:cs="宋体"/>
          <w:b/>
          <w:bCs/>
          <w:color w:val="auto"/>
          <w:sz w:val="28"/>
          <w:szCs w:val="21"/>
          <w:lang w:val="en-US" w:eastAsia="zh-CN"/>
        </w:rPr>
        <w:t>最低价销售和保障供应承诺</w:t>
      </w:r>
    </w:p>
    <w:p>
      <w:pPr>
        <w:rPr>
          <w:rFonts w:hint="eastAsia" w:ascii="仿宋_GB2312" w:hAnsi="宋体" w:eastAsia="仿宋_GB2312" w:cs="宋体"/>
          <w:b/>
          <w:bCs/>
          <w:color w:val="auto"/>
          <w:sz w:val="28"/>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本公司参与采购人招投标活动已取得产品生产厂家或授权供应商的许可，本公司在此承诺：1.此次投标产品报价为重庆市药交所线上的最低价，线上备案价格为重庆市药交所线上备案的最低价，在采购周期内若药交所线上最低价或药剂所线上备案最低价出现更低价，主动向采购人申报并同步降价。2.在合同期内，提前预判市场供应情况并做好相应预案，稳定持续保障采购人的用量需求，特别是爆发公共卫生事件等紧急情况。承诺有效期与合同期限一致。如违背承诺，本公司自愿放弃合同履约保证金，同时按照合同约定支付违约金，2年内不再参与采购人的采购招标活动。</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承诺供应商：            </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承诺时间：            </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sz w:val="30"/>
          <w:szCs w:val="30"/>
          <w:highlight w:val="none"/>
          <w:lang w:val="en-US" w:eastAsia="zh-CN"/>
        </w:rPr>
        <w:t xml:space="preserve"> </w:t>
      </w: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pPr>
        <w:rPr>
          <w:rFonts w:hint="default"/>
          <w:lang w:val="en-US" w:eastAsia="zh-CN"/>
        </w:rPr>
      </w:pPr>
    </w:p>
    <w:tbl>
      <w:tblPr>
        <w:tblStyle w:val="9"/>
        <w:tblW w:w="14825"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1274"/>
        <w:gridCol w:w="1169"/>
        <w:gridCol w:w="985"/>
        <w:gridCol w:w="1261"/>
        <w:gridCol w:w="1500"/>
        <w:gridCol w:w="1288"/>
        <w:gridCol w:w="1605"/>
      </w:tblGrid>
      <w:tr>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b w:val="0"/>
                <w:bCs w:val="0"/>
                <w:color w:val="auto"/>
                <w:kern w:val="0"/>
                <w:sz w:val="20"/>
                <w:szCs w:val="22"/>
                <w:lang w:val="en-US" w:eastAsia="zh-CN" w:bidi="ar"/>
              </w:rPr>
              <w:t xml:space="preserve"> 产品名称</w:t>
            </w:r>
          </w:p>
        </w:tc>
        <w:tc>
          <w:tcPr>
            <w:tcW w:w="887"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b w:val="0"/>
                <w:bCs w:val="0"/>
                <w:color w:val="auto"/>
                <w:sz w:val="20"/>
                <w:lang w:eastAsia="zh-CN"/>
              </w:rPr>
              <w:t>注册证</w:t>
            </w:r>
            <w:r>
              <w:rPr>
                <w:rFonts w:hint="eastAsia" w:ascii="宋体" w:hAnsi="宋体" w:eastAsia="宋体" w:cs="宋体"/>
                <w:b w:val="0"/>
                <w:bCs w:val="0"/>
                <w:color w:val="auto"/>
                <w:sz w:val="20"/>
                <w:lang w:val="en-US" w:eastAsia="zh-CN"/>
              </w:rPr>
              <w:t>或备案</w:t>
            </w:r>
            <w:r>
              <w:rPr>
                <w:rFonts w:hint="eastAsia" w:ascii="宋体" w:hAnsi="宋体" w:eastAsia="宋体" w:cs="宋体"/>
                <w:b w:val="0"/>
                <w:bCs w:val="0"/>
                <w:color w:val="auto"/>
                <w:sz w:val="20"/>
                <w:lang w:eastAsia="zh-CN"/>
              </w:rPr>
              <w:t>号</w:t>
            </w:r>
          </w:p>
        </w:tc>
        <w:tc>
          <w:tcPr>
            <w:tcW w:w="635"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bidi="ar"/>
              </w:rPr>
              <w:t>规格/型号</w:t>
            </w:r>
          </w:p>
        </w:tc>
        <w:tc>
          <w:tcPr>
            <w:tcW w:w="6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val="en-US" w:eastAsia="zh-CN" w:bidi="ar"/>
              </w:rPr>
              <w:t>医疗器械分类</w:t>
            </w:r>
          </w:p>
        </w:tc>
        <w:tc>
          <w:tcPr>
            <w:tcW w:w="60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i w:val="0"/>
                <w:iCs w:val="0"/>
                <w:color w:val="000000"/>
                <w:kern w:val="0"/>
                <w:sz w:val="18"/>
                <w:szCs w:val="18"/>
                <w:u w:val="none"/>
                <w:lang w:val="en-US" w:eastAsia="zh-CN" w:bidi="ar"/>
              </w:rPr>
              <w:t>医保通用名</w:t>
            </w:r>
          </w:p>
        </w:tc>
        <w:tc>
          <w:tcPr>
            <w:tcW w:w="149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b w:val="0"/>
                <w:bCs w:val="0"/>
                <w:i w:val="0"/>
                <w:iCs w:val="0"/>
                <w:color w:val="000000"/>
                <w:kern w:val="0"/>
                <w:sz w:val="18"/>
                <w:szCs w:val="18"/>
                <w:u w:val="none"/>
                <w:lang w:val="en-US" w:eastAsia="zh-CN" w:bidi="ar"/>
              </w:rPr>
              <w:t>医保耗材分类代码</w:t>
            </w:r>
          </w:p>
        </w:tc>
        <w:tc>
          <w:tcPr>
            <w:tcW w:w="1274"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药交所编码</w:t>
            </w:r>
          </w:p>
        </w:tc>
        <w:tc>
          <w:tcPr>
            <w:tcW w:w="1169"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生产厂家</w:t>
            </w:r>
          </w:p>
        </w:tc>
        <w:tc>
          <w:tcPr>
            <w:tcW w:w="98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药交所是否上架</w:t>
            </w: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药交所线上最低成交价</w:t>
            </w:r>
          </w:p>
        </w:tc>
        <w:tc>
          <w:tcPr>
            <w:tcW w:w="150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全国各省市医保集采价格（有则填）</w:t>
            </w:r>
          </w:p>
        </w:tc>
        <w:tc>
          <w:tcPr>
            <w:tcW w:w="1288"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产品有效期</w:t>
            </w:r>
          </w:p>
        </w:tc>
        <w:tc>
          <w:tcPr>
            <w:tcW w:w="1605"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重庆三甲医院使用情况（填</w:t>
            </w:r>
            <w:r>
              <w:rPr>
                <w:rFonts w:hint="eastAsia" w:ascii="宋体" w:hAnsi="宋体" w:cs="宋体"/>
                <w:b w:val="0"/>
                <w:bCs w:val="0"/>
                <w:i w:val="0"/>
                <w:iCs w:val="0"/>
                <w:color w:val="000000"/>
                <w:kern w:val="2"/>
                <w:sz w:val="18"/>
                <w:szCs w:val="18"/>
                <w:u w:val="none"/>
                <w:lang w:val="en-US" w:eastAsia="zh-CN" w:bidi="ar-SA"/>
              </w:rPr>
              <w:t>用量最大的医院</w:t>
            </w:r>
            <w:r>
              <w:rPr>
                <w:rFonts w:hint="eastAsia" w:ascii="宋体" w:hAnsi="宋体" w:eastAsia="宋体" w:cs="宋体"/>
                <w:b w:val="0"/>
                <w:bCs w:val="0"/>
                <w:i w:val="0"/>
                <w:iCs w:val="0"/>
                <w:color w:val="000000"/>
                <w:kern w:val="2"/>
                <w:sz w:val="18"/>
                <w:szCs w:val="18"/>
                <w:u w:val="none"/>
                <w:lang w:val="en-US" w:eastAsia="zh-CN" w:bidi="ar-SA"/>
              </w:rPr>
              <w:t>名称）</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bl>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sz w:val="24"/>
          <w:szCs w:val="24"/>
          <w:lang w:val="en-US" w:eastAsia="zh-CN"/>
        </w:rPr>
        <w:t>温馨提示</w:t>
      </w:r>
      <w:r>
        <w:rPr>
          <w:rFonts w:hint="eastAsia" w:ascii="方正仿宋_GBK" w:hAnsi="方正仿宋_GBK" w:eastAsia="方正仿宋_GBK" w:cs="方正仿宋_GBK"/>
          <w:b w:val="0"/>
          <w:bCs/>
          <w:color w:val="auto"/>
          <w:sz w:val="24"/>
          <w:szCs w:val="24"/>
        </w:rPr>
        <w:t>：</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sz w:val="32"/>
          <w:szCs w:val="32"/>
        </w:rPr>
      </w:pPr>
      <w:r>
        <w:rPr>
          <w:rFonts w:hint="eastAsia" w:ascii="方正仿宋_GBK" w:hAnsi="方正仿宋_GBK" w:eastAsia="方正仿宋_GBK" w:cs="方正仿宋_GBK"/>
          <w:b w:val="0"/>
          <w:bCs/>
          <w:color w:val="auto"/>
          <w:kern w:val="0"/>
          <w:sz w:val="24"/>
          <w:szCs w:val="24"/>
        </w:rPr>
        <w:t>1、</w:t>
      </w:r>
      <w:r>
        <w:rPr>
          <w:rFonts w:hint="eastAsia" w:ascii="方正仿宋_GBK" w:hAnsi="方正仿宋_GBK" w:eastAsia="方正仿宋_GBK" w:cs="方正仿宋_GBK"/>
          <w:b w:val="0"/>
          <w:bCs/>
          <w:color w:val="auto"/>
          <w:kern w:val="0"/>
          <w:sz w:val="24"/>
          <w:szCs w:val="24"/>
          <w:lang w:val="en-US" w:eastAsia="zh-CN"/>
        </w:rPr>
        <w:t>请</w:t>
      </w:r>
      <w:r>
        <w:rPr>
          <w:rFonts w:hint="eastAsia" w:ascii="方正仿宋_GBK" w:hAnsi="方正仿宋_GBK" w:eastAsia="方正仿宋_GBK" w:cs="方正仿宋_GBK"/>
          <w:b w:val="0"/>
          <w:bCs/>
          <w:color w:val="auto"/>
          <w:kern w:val="0"/>
          <w:sz w:val="24"/>
          <w:szCs w:val="24"/>
        </w:rPr>
        <w:t>按照</w:t>
      </w:r>
      <w:r>
        <w:rPr>
          <w:rFonts w:hint="eastAsia" w:ascii="方正仿宋_GBK" w:hAnsi="方正仿宋_GBK" w:eastAsia="方正仿宋_GBK" w:cs="方正仿宋_GBK"/>
          <w:b w:val="0"/>
          <w:bCs/>
          <w:color w:val="auto"/>
          <w:kern w:val="0"/>
          <w:sz w:val="24"/>
          <w:szCs w:val="24"/>
          <w:lang w:val="en-US" w:eastAsia="zh-CN"/>
        </w:rPr>
        <w:t>招标公告</w:t>
      </w:r>
      <w:r>
        <w:rPr>
          <w:rFonts w:hint="eastAsia" w:ascii="方正仿宋_GBK" w:hAnsi="方正仿宋_GBK" w:eastAsia="方正仿宋_GBK" w:cs="方正仿宋_GBK"/>
          <w:b w:val="0"/>
          <w:bCs/>
          <w:color w:val="auto"/>
          <w:kern w:val="0"/>
          <w:sz w:val="24"/>
          <w:szCs w:val="24"/>
        </w:rPr>
        <w:t>产品序号</w:t>
      </w:r>
      <w:r>
        <w:rPr>
          <w:rFonts w:hint="eastAsia" w:ascii="方正仿宋_GBK" w:hAnsi="方正仿宋_GBK" w:eastAsia="方正仿宋_GBK" w:cs="方正仿宋_GBK"/>
          <w:b w:val="0"/>
          <w:bCs/>
          <w:color w:val="auto"/>
          <w:kern w:val="0"/>
          <w:sz w:val="24"/>
          <w:szCs w:val="24"/>
          <w:lang w:val="en-US" w:eastAsia="zh-CN"/>
        </w:rPr>
        <w:t>填写</w:t>
      </w:r>
      <w:r>
        <w:rPr>
          <w:rFonts w:hint="eastAsia" w:ascii="方正仿宋_GBK" w:hAnsi="方正仿宋_GBK" w:eastAsia="方正仿宋_GBK" w:cs="方正仿宋_GBK"/>
          <w:b w:val="0"/>
          <w:bCs/>
          <w:color w:val="auto"/>
          <w:kern w:val="0"/>
          <w:sz w:val="24"/>
          <w:szCs w:val="24"/>
        </w:rPr>
        <w:t>报价，产品顺序不能随意更改</w:t>
      </w:r>
      <w:r>
        <w:rPr>
          <w:rFonts w:hint="eastAsia" w:ascii="方正仿宋_GBK" w:hAnsi="方正仿宋_GBK" w:eastAsia="方正仿宋_GBK" w:cs="方正仿宋_GBK"/>
          <w:b w:val="0"/>
          <w:bCs/>
          <w:color w:val="auto"/>
          <w:kern w:val="0"/>
          <w:sz w:val="24"/>
          <w:szCs w:val="24"/>
          <w:lang w:eastAsia="zh-CN"/>
        </w:rPr>
        <w:t>、</w:t>
      </w:r>
      <w:r>
        <w:rPr>
          <w:rFonts w:hint="eastAsia" w:ascii="方正仿宋_GBK" w:hAnsi="方正仿宋_GBK" w:eastAsia="方正仿宋_GBK" w:cs="方正仿宋_GBK"/>
          <w:b w:val="0"/>
          <w:bCs/>
          <w:color w:val="auto"/>
          <w:kern w:val="0"/>
          <w:sz w:val="24"/>
          <w:szCs w:val="24"/>
        </w:rPr>
        <w:t>删除</w:t>
      </w:r>
      <w:r>
        <w:rPr>
          <w:rFonts w:hint="eastAsia" w:ascii="方正仿宋_GBK" w:hAnsi="方正仿宋_GBK" w:eastAsia="方正仿宋_GBK" w:cs="方正仿宋_GBK"/>
          <w:b w:val="0"/>
          <w:bCs/>
          <w:color w:val="auto"/>
          <w:kern w:val="0"/>
          <w:sz w:val="24"/>
          <w:szCs w:val="24"/>
          <w:lang w:val="en-US" w:eastAsia="zh-CN"/>
        </w:rPr>
        <w:t>或新增</w:t>
      </w:r>
      <w:r>
        <w:rPr>
          <w:rFonts w:hint="eastAsia" w:ascii="方正仿宋_GBK" w:hAnsi="方正仿宋_GBK" w:eastAsia="方正仿宋_GBK" w:cs="方正仿宋_GBK"/>
          <w:b w:val="0"/>
          <w:bCs/>
          <w:color w:val="auto"/>
          <w:kern w:val="0"/>
          <w:sz w:val="24"/>
          <w:szCs w:val="24"/>
        </w:rPr>
        <w:t>；</w:t>
      </w:r>
    </w:p>
    <w:p>
      <w:pPr>
        <w:pStyle w:val="2"/>
        <w:tabs>
          <w:tab w:val="left" w:pos="720"/>
        </w:tabs>
        <w:adjustRightInd w:val="0"/>
        <w:snapToGrid w:val="0"/>
        <w:spacing w:line="360" w:lineRule="auto"/>
        <w:ind w:left="720"/>
        <w:rPr>
          <w:rFonts w:hint="eastAsia"/>
          <w:color w:val="auto"/>
        </w:rPr>
      </w:pPr>
    </w:p>
    <w:p>
      <w:pPr>
        <w:rPr>
          <w:rFonts w:hint="eastAsia"/>
          <w:color w:val="auto"/>
        </w:rPr>
      </w:pPr>
    </w:p>
    <w:p>
      <w:pPr>
        <w:rPr>
          <w:rFonts w:hint="eastAsia"/>
          <w:color w:val="auto"/>
        </w:rPr>
      </w:pPr>
    </w:p>
    <w:p>
      <w:pPr>
        <w:rPr>
          <w:rFonts w:hint="eastAsia"/>
          <w:color w:val="auto"/>
        </w:rPr>
      </w:pPr>
    </w:p>
    <w:p>
      <w:pPr>
        <w:tabs>
          <w:tab w:val="left" w:pos="6300"/>
        </w:tabs>
        <w:adjustRightInd w:val="0"/>
        <w:snapToGrid w:val="0"/>
        <w:spacing w:line="360" w:lineRule="auto"/>
        <w:jc w:val="center"/>
        <w:rPr>
          <w:rFonts w:hint="default" w:ascii="仿宋" w:hAnsi="仿宋" w:eastAsia="仿宋"/>
          <w:b/>
          <w:bCs w:val="0"/>
          <w:snapToGrid w:val="0"/>
          <w:color w:val="auto"/>
          <w:kern w:val="0"/>
          <w:sz w:val="36"/>
          <w:szCs w:val="24"/>
          <w:lang w:val="en-US" w:eastAsia="zh-CN"/>
        </w:rPr>
      </w:pPr>
      <w:r>
        <w:rPr>
          <w:rFonts w:hint="eastAsia" w:ascii="仿宋" w:hAnsi="仿宋" w:eastAsia="仿宋"/>
          <w:b/>
          <w:bCs w:val="0"/>
          <w:snapToGrid w:val="0"/>
          <w:color w:val="auto"/>
          <w:kern w:val="0"/>
          <w:sz w:val="36"/>
          <w:szCs w:val="24"/>
          <w:lang w:val="en-US" w:eastAsia="zh-CN"/>
        </w:rPr>
        <w:t>产品备案信息表</w:t>
      </w:r>
    </w:p>
    <w:tbl>
      <w:tblPr>
        <w:tblStyle w:val="9"/>
        <w:tblW w:w="15682"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857"/>
        <w:gridCol w:w="857"/>
        <w:gridCol w:w="1586"/>
        <w:gridCol w:w="985"/>
        <w:gridCol w:w="1261"/>
        <w:gridCol w:w="1500"/>
        <w:gridCol w:w="1288"/>
        <w:gridCol w:w="1605"/>
      </w:tblGrid>
      <w:tr>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i w:val="0"/>
                <w:iCs w:val="0"/>
                <w:color w:val="FF0000"/>
                <w:kern w:val="0"/>
                <w:sz w:val="22"/>
                <w:szCs w:val="22"/>
                <w:u w:val="none"/>
                <w:lang w:val="en-US" w:eastAsia="zh-CN" w:bidi="ar"/>
              </w:rPr>
              <w:t>产品名称*</w:t>
            </w:r>
          </w:p>
        </w:tc>
        <w:tc>
          <w:tcPr>
            <w:tcW w:w="887"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i w:val="0"/>
                <w:iCs w:val="0"/>
                <w:color w:val="000000"/>
                <w:kern w:val="0"/>
                <w:sz w:val="24"/>
                <w:szCs w:val="24"/>
                <w:u w:val="none"/>
                <w:lang w:val="en-US" w:eastAsia="zh-CN" w:bidi="ar"/>
              </w:rPr>
              <w:t>单件产品名称</w:t>
            </w:r>
          </w:p>
        </w:tc>
        <w:tc>
          <w:tcPr>
            <w:tcW w:w="63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注册备案号*</w:t>
            </w:r>
          </w:p>
        </w:tc>
        <w:tc>
          <w:tcPr>
            <w:tcW w:w="6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规格*</w:t>
            </w:r>
          </w:p>
        </w:tc>
        <w:tc>
          <w:tcPr>
            <w:tcW w:w="60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型号*</w:t>
            </w:r>
          </w:p>
        </w:tc>
        <w:tc>
          <w:tcPr>
            <w:tcW w:w="149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i w:val="0"/>
                <w:iCs w:val="0"/>
                <w:color w:val="FF0000"/>
                <w:kern w:val="0"/>
                <w:sz w:val="22"/>
                <w:szCs w:val="22"/>
                <w:u w:val="none"/>
                <w:lang w:val="en-US" w:eastAsia="zh-CN" w:bidi="ar"/>
              </w:rPr>
              <w:t>是否取得国家医保代码*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国家医保代码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注册备案人*</w:t>
            </w:r>
          </w:p>
        </w:tc>
        <w:tc>
          <w:tcPr>
            <w:tcW w:w="1586"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计价单位*</w:t>
            </w:r>
          </w:p>
        </w:tc>
        <w:tc>
          <w:tcPr>
            <w:tcW w:w="98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采购价格（元）*</w:t>
            </w: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最小包装数量</w:t>
            </w:r>
          </w:p>
        </w:tc>
        <w:tc>
          <w:tcPr>
            <w:tcW w:w="150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最小使用单位</w:t>
            </w:r>
          </w:p>
        </w:tc>
        <w:tc>
          <w:tcPr>
            <w:tcW w:w="1288"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最小包装单位</w:t>
            </w:r>
          </w:p>
        </w:tc>
        <w:tc>
          <w:tcPr>
            <w:tcW w:w="1605"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i w:val="0"/>
                <w:iCs w:val="0"/>
                <w:color w:val="FF0000"/>
                <w:kern w:val="0"/>
                <w:sz w:val="24"/>
                <w:szCs w:val="24"/>
                <w:u w:val="none"/>
                <w:lang w:val="en-US" w:eastAsia="zh-CN" w:bidi="ar"/>
              </w:rPr>
              <w:t>备案原因*</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9</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10</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bl>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填写说明：</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微软雅黑"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1.该表为线下采购产品必填表，填写后须将Excel表格发送至采购办邮箱</w:t>
      </w:r>
      <w:r>
        <w:rPr>
          <w:rFonts w:hint="eastAsia" w:ascii="微软雅黑" w:hAnsi="微软雅黑" w:eastAsia="微软雅黑" w:cs="微软雅黑"/>
          <w:i w:val="0"/>
          <w:caps w:val="0"/>
          <w:color w:val="555555"/>
          <w:spacing w:val="0"/>
          <w:sz w:val="21"/>
          <w:szCs w:val="21"/>
          <w:lang w:val="en-US" w:eastAsia="zh-CN"/>
        </w:rPr>
        <w:t>bsrmyycgb</w:t>
      </w:r>
      <w:r>
        <w:rPr>
          <w:rFonts w:hint="eastAsia" w:ascii="微软雅黑" w:hAnsi="微软雅黑" w:eastAsia="微软雅黑" w:cs="微软雅黑"/>
          <w:i w:val="0"/>
          <w:caps w:val="0"/>
          <w:color w:val="555555"/>
          <w:spacing w:val="0"/>
          <w:sz w:val="21"/>
          <w:szCs w:val="21"/>
        </w:rPr>
        <w:t>@</w:t>
      </w:r>
      <w:r>
        <w:rPr>
          <w:rFonts w:hint="eastAsia" w:ascii="微软雅黑" w:hAnsi="微软雅黑" w:eastAsia="微软雅黑" w:cs="微软雅黑"/>
          <w:i w:val="0"/>
          <w:caps w:val="0"/>
          <w:color w:val="555555"/>
          <w:spacing w:val="0"/>
          <w:sz w:val="21"/>
          <w:szCs w:val="21"/>
          <w:lang w:val="en-US" w:eastAsia="zh-CN"/>
        </w:rPr>
        <w:t>163</w:t>
      </w:r>
      <w:r>
        <w:rPr>
          <w:rFonts w:hint="eastAsia" w:ascii="微软雅黑" w:hAnsi="微软雅黑" w:eastAsia="微软雅黑" w:cs="微软雅黑"/>
          <w:i w:val="0"/>
          <w:caps w:val="0"/>
          <w:color w:val="555555"/>
          <w:spacing w:val="0"/>
          <w:sz w:val="21"/>
          <w:szCs w:val="21"/>
        </w:rPr>
        <w:t>.com</w:t>
      </w:r>
      <w:r>
        <w:rPr>
          <w:rFonts w:hint="eastAsia" w:ascii="微软雅黑" w:hAnsi="微软雅黑" w:eastAsia="微软雅黑" w:cs="微软雅黑"/>
          <w:i w:val="0"/>
          <w:caps w:val="0"/>
          <w:color w:val="555555"/>
          <w:spacing w:val="0"/>
          <w:sz w:val="21"/>
          <w:szCs w:val="21"/>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2.带*号且是红色字段为必填项；</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3.是否取得国家医保代码字段（若为是，国家医保代码为必填项；若为否，国家医保代码不必填）；已取得国家医保代码的产品请按国家医保代码数据库的内容填写产品信息，暂无国家医保代码或国家医保代码尚未覆盖的产品请按医疗器械注册批件上的内容填写；</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4.国家医保代码数据查询网址：1）国家医保医用耗材分类与代码数据库：https://code.nhsa.gov.cn/toSearch.html?sysflag=1004；2）国家医保体外诊断试剂分类与代码数据库：</w:t>
      </w:r>
      <w:r>
        <w:rPr>
          <w:rFonts w:hint="eastAsia" w:ascii="方正仿宋_GBK" w:hAnsi="方正仿宋_GBK" w:eastAsia="方正仿宋_GBK" w:cs="方正仿宋_GBK"/>
          <w:b w:val="0"/>
          <w:bCs/>
          <w:color w:val="auto"/>
          <w:kern w:val="0"/>
          <w:sz w:val="24"/>
          <w:szCs w:val="24"/>
          <w:lang w:val="en-US" w:eastAsia="zh-CN"/>
        </w:rPr>
        <w:fldChar w:fldCharType="begin"/>
      </w:r>
      <w:r>
        <w:rPr>
          <w:rFonts w:hint="eastAsia" w:ascii="方正仿宋_GBK" w:hAnsi="方正仿宋_GBK" w:eastAsia="方正仿宋_GBK" w:cs="方正仿宋_GBK"/>
          <w:b w:val="0"/>
          <w:bCs/>
          <w:color w:val="auto"/>
          <w:kern w:val="0"/>
          <w:sz w:val="24"/>
          <w:szCs w:val="24"/>
          <w:lang w:val="en-US" w:eastAsia="zh-CN"/>
        </w:rPr>
        <w:instrText xml:space="preserve"> HYPERLINK "https://code.nhsa.gov.cn/toSearch.html?sysflag=1006；" </w:instrText>
      </w:r>
      <w:r>
        <w:rPr>
          <w:rFonts w:hint="eastAsia" w:ascii="方正仿宋_GBK" w:hAnsi="方正仿宋_GBK" w:eastAsia="方正仿宋_GBK" w:cs="方正仿宋_GBK"/>
          <w:b w:val="0"/>
          <w:bCs/>
          <w:color w:val="auto"/>
          <w:kern w:val="0"/>
          <w:sz w:val="24"/>
          <w:szCs w:val="24"/>
          <w:lang w:val="en-US" w:eastAsia="zh-CN"/>
        </w:rPr>
        <w:fldChar w:fldCharType="separate"/>
      </w:r>
      <w:r>
        <w:rPr>
          <w:rStyle w:val="13"/>
          <w:rFonts w:hint="eastAsia" w:ascii="方正仿宋_GBK" w:hAnsi="方正仿宋_GBK" w:eastAsia="方正仿宋_GBK" w:cs="方正仿宋_GBK"/>
          <w:b w:val="0"/>
          <w:bCs/>
          <w:color w:val="auto"/>
          <w:kern w:val="0"/>
          <w:sz w:val="24"/>
          <w:szCs w:val="24"/>
          <w:lang w:val="en-US" w:eastAsia="zh-CN"/>
        </w:rPr>
        <w:t>https://code.nhsa.gov.cn/toSearch.html?sysflag=1006；</w:t>
      </w:r>
      <w:r>
        <w:rPr>
          <w:rFonts w:hint="eastAsia" w:ascii="方正仿宋_GBK" w:hAnsi="方正仿宋_GBK" w:eastAsia="方正仿宋_GBK" w:cs="方正仿宋_GBK"/>
          <w:b w:val="0"/>
          <w:bCs/>
          <w:color w:val="auto"/>
          <w:kern w:val="0"/>
          <w:sz w:val="24"/>
          <w:szCs w:val="24"/>
          <w:lang w:val="en-US" w:eastAsia="zh-CN"/>
        </w:rPr>
        <w:fldChar w:fldCharType="end"/>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sectPr>
          <w:pgSz w:w="16838" w:h="11906" w:orient="landscape"/>
          <w:pgMar w:top="1134" w:right="1134" w:bottom="1134" w:left="1134" w:header="851" w:footer="992" w:gutter="0"/>
          <w:cols w:space="720" w:num="1"/>
          <w:docGrid w:type="lines" w:linePitch="312" w:charSpace="0"/>
        </w:sectPr>
      </w:pPr>
    </w:p>
    <w:p>
      <w:pPr>
        <w:snapToGrid w:val="0"/>
        <w:spacing w:line="400" w:lineRule="exact"/>
        <w:ind w:firstLine="596" w:firstLineChars="200"/>
        <w:jc w:val="center"/>
        <w:rPr>
          <w:rFonts w:hint="eastAsia" w:ascii="宋体" w:hAnsi="宋体" w:cs="宋体"/>
          <w:color w:val="000000"/>
          <w:sz w:val="32"/>
          <w:szCs w:val="36"/>
        </w:rPr>
      </w:pPr>
      <w:r>
        <w:rPr>
          <w:rFonts w:hint="eastAsia" w:ascii="宋体" w:hAnsi="宋体" w:cs="宋体"/>
          <w:color w:val="000000"/>
          <w:sz w:val="32"/>
          <w:szCs w:val="36"/>
        </w:rPr>
        <w:t>技术</w:t>
      </w:r>
      <w:r>
        <w:rPr>
          <w:rFonts w:hint="eastAsia" w:ascii="宋体" w:hAnsi="宋体" w:cs="宋体"/>
          <w:color w:val="000000"/>
          <w:sz w:val="32"/>
          <w:szCs w:val="36"/>
          <w:lang w:val="en-US" w:eastAsia="zh-CN"/>
        </w:rPr>
        <w:t>参数</w:t>
      </w:r>
      <w:r>
        <w:rPr>
          <w:rFonts w:hint="eastAsia" w:ascii="宋体" w:hAnsi="宋体" w:cs="宋体"/>
          <w:color w:val="000000"/>
          <w:sz w:val="32"/>
          <w:szCs w:val="36"/>
        </w:rPr>
        <w:t>差异</w:t>
      </w:r>
      <w:r>
        <w:rPr>
          <w:rFonts w:hint="eastAsia" w:ascii="宋体" w:hAnsi="宋体" w:cs="宋体"/>
          <w:color w:val="000000"/>
          <w:sz w:val="32"/>
          <w:szCs w:val="36"/>
          <w:lang w:val="en-US" w:eastAsia="zh-CN"/>
        </w:rPr>
        <w:t>对照</w:t>
      </w:r>
      <w:r>
        <w:rPr>
          <w:rFonts w:hint="eastAsia" w:ascii="宋体" w:hAnsi="宋体" w:cs="宋体"/>
          <w:color w:val="000000"/>
          <w:sz w:val="32"/>
          <w:szCs w:val="36"/>
        </w:rPr>
        <w:t>表</w:t>
      </w:r>
    </w:p>
    <w:tbl>
      <w:tblPr>
        <w:tblStyle w:val="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296"/>
        <w:gridCol w:w="2809"/>
        <w:gridCol w:w="148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29"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序号</w:t>
            </w:r>
          </w:p>
        </w:tc>
        <w:tc>
          <w:tcPr>
            <w:tcW w:w="1244" w:type="pct"/>
            <w:noWrap w:val="0"/>
            <w:vAlign w:val="center"/>
          </w:tcPr>
          <w:p>
            <w:pPr>
              <w:tabs>
                <w:tab w:val="left" w:pos="6300"/>
              </w:tabs>
              <w:snapToGrid w:val="0"/>
              <w:spacing w:line="500" w:lineRule="exact"/>
              <w:rPr>
                <w:rFonts w:ascii="宋体" w:hAnsi="宋体" w:cs="宋体"/>
                <w:color w:val="000000"/>
                <w:sz w:val="24"/>
                <w:szCs w:val="24"/>
              </w:rPr>
            </w:pPr>
            <w:r>
              <w:rPr>
                <w:rFonts w:hint="eastAsia" w:ascii="宋体" w:hAnsi="宋体" w:cs="宋体"/>
                <w:color w:val="000000"/>
                <w:sz w:val="24"/>
                <w:szCs w:val="24"/>
              </w:rPr>
              <w:t>参数需求</w:t>
            </w:r>
          </w:p>
        </w:tc>
        <w:tc>
          <w:tcPr>
            <w:tcW w:w="1522" w:type="pct"/>
            <w:noWrap w:val="0"/>
            <w:vAlign w:val="center"/>
          </w:tcPr>
          <w:p>
            <w:pPr>
              <w:tabs>
                <w:tab w:val="left" w:pos="6300"/>
              </w:tabs>
              <w:snapToGrid w:val="0"/>
              <w:spacing w:line="500" w:lineRule="exac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响应情况</w:t>
            </w:r>
          </w:p>
        </w:tc>
        <w:tc>
          <w:tcPr>
            <w:tcW w:w="805"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偏离情况</w:t>
            </w:r>
          </w:p>
        </w:tc>
        <w:tc>
          <w:tcPr>
            <w:tcW w:w="897"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lang w:val="zh-TW" w:eastAsia="zh-TW"/>
              </w:rPr>
              <w:t>佐证材料对应</w:t>
            </w:r>
            <w:r>
              <w:rPr>
                <w:rFonts w:hint="eastAsia" w:ascii="宋体" w:hAnsi="宋体" w:cs="宋体"/>
                <w:color w:val="000000"/>
                <w:sz w:val="24"/>
                <w:szCs w:val="24"/>
              </w:rPr>
              <w:t>竞选</w:t>
            </w:r>
            <w:r>
              <w:rPr>
                <w:rFonts w:hint="eastAsia" w:ascii="宋体" w:hAnsi="宋体" w:cs="宋体"/>
                <w:color w:val="000000"/>
                <w:sz w:val="24"/>
                <w:szCs w:val="24"/>
                <w:lang w:val="zh-TW" w:eastAsia="zh-TW"/>
              </w:rPr>
              <w:t>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244"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522"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提醒：请注明自身技术参数或具体内容，不得照搬参数需求</w:t>
            </w:r>
          </w:p>
        </w:tc>
        <w:tc>
          <w:tcPr>
            <w:tcW w:w="805"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897"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rPr>
        <w:t>注：</w:t>
      </w:r>
      <w:r>
        <w:rPr>
          <w:rFonts w:hint="eastAsia" w:ascii="宋体" w:hAnsi="宋体" w:cs="宋体"/>
          <w:color w:val="000000"/>
          <w:sz w:val="24"/>
          <w:szCs w:val="24"/>
        </w:rPr>
        <w:t>1.本表即为对本项目“</w:t>
      </w: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r>
        <w:rPr>
          <w:rFonts w:hint="eastAsia" w:ascii="宋体" w:hAnsi="宋体" w:cs="宋体"/>
          <w:color w:val="000000"/>
          <w:sz w:val="24"/>
          <w:szCs w:val="24"/>
        </w:rPr>
        <w:t>”中所列条款进行</w:t>
      </w:r>
      <w:r>
        <w:rPr>
          <w:rFonts w:hint="eastAsia" w:ascii="宋体" w:hAnsi="宋体" w:cs="宋体"/>
          <w:color w:val="000000"/>
          <w:sz w:val="24"/>
          <w:szCs w:val="24"/>
          <w:lang w:val="en-US" w:eastAsia="zh-CN"/>
        </w:rPr>
        <w:t>逐条</w:t>
      </w:r>
      <w:r>
        <w:rPr>
          <w:rFonts w:hint="eastAsia" w:ascii="宋体" w:hAnsi="宋体" w:cs="宋体"/>
          <w:color w:val="000000"/>
          <w:sz w:val="24"/>
          <w:szCs w:val="24"/>
        </w:rPr>
        <w:t>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lang w:val="en-US" w:eastAsia="zh-CN"/>
        </w:rPr>
        <w:t>响应情况</w:t>
      </w:r>
      <w:r>
        <w:rPr>
          <w:rFonts w:hint="eastAsia" w:ascii="宋体" w:hAnsi="宋体" w:cs="宋体"/>
          <w:color w:val="000000"/>
          <w:sz w:val="24"/>
          <w:szCs w:val="24"/>
        </w:rPr>
        <w:t>栏中应当注明技术参数或具体内容。表中必须标注技术参数或具体内容在竞选文件中的位置（页码）</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无佐证材料视为无效响应</w:t>
      </w:r>
      <w:r>
        <w:rPr>
          <w:rFonts w:hint="eastAsia" w:ascii="宋体" w:hAnsi="宋体" w:cs="宋体"/>
          <w:color w:val="000000"/>
          <w:sz w:val="24"/>
          <w:szCs w:val="24"/>
        </w:rPr>
        <w:t>。</w:t>
      </w:r>
    </w:p>
    <w:p>
      <w:pPr>
        <w:keepNext/>
        <w:keepLines/>
        <w:adjustRightInd w:val="0"/>
        <w:snapToGrid w:val="0"/>
        <w:spacing w:line="400" w:lineRule="atLeast"/>
        <w:ind w:firstLine="436"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napToGrid w:val="0"/>
        <w:spacing w:line="400" w:lineRule="exact"/>
        <w:ind w:firstLine="436" w:firstLineChars="200"/>
        <w:rPr>
          <w:rFonts w:hint="eastAsia" w:ascii="宋体" w:hAnsi="宋体" w:cs="宋体"/>
          <w:color w:val="000000"/>
          <w:sz w:val="24"/>
          <w:szCs w:val="28"/>
        </w:rPr>
        <w:sectPr>
          <w:pgSz w:w="11907" w:h="16840"/>
          <w:pgMar w:top="1928" w:right="1446" w:bottom="1644" w:left="1446" w:header="964" w:footer="992" w:gutter="0"/>
          <w:pgNumType w:fmt="numberInDash"/>
          <w:cols w:space="720" w:num="1"/>
          <w:docGrid w:type="linesAndChars" w:linePitch="390" w:charSpace="-4594"/>
        </w:sectPr>
      </w:pPr>
    </w:p>
    <w:p>
      <w:pPr>
        <w:snapToGrid w:val="0"/>
        <w:spacing w:line="400" w:lineRule="exact"/>
        <w:ind w:firstLine="643" w:firstLineChars="200"/>
        <w:jc w:val="center"/>
        <w:rPr>
          <w:rFonts w:hint="eastAsia" w:ascii="宋体" w:hAnsi="宋体" w:cs="宋体"/>
          <w:b/>
          <w:bCs/>
          <w:color w:val="000000"/>
          <w:sz w:val="32"/>
          <w:szCs w:val="36"/>
        </w:rPr>
      </w:pPr>
      <w:r>
        <w:rPr>
          <w:rFonts w:hint="eastAsia" w:ascii="宋体" w:hAnsi="宋体" w:cs="宋体"/>
          <w:b/>
          <w:bCs/>
          <w:color w:val="000000"/>
          <w:sz w:val="32"/>
          <w:szCs w:val="36"/>
        </w:rPr>
        <w:t>商务</w:t>
      </w:r>
      <w:r>
        <w:rPr>
          <w:rFonts w:hint="eastAsia" w:ascii="宋体" w:hAnsi="宋体" w:cs="宋体"/>
          <w:b/>
          <w:bCs/>
          <w:color w:val="000000"/>
          <w:sz w:val="32"/>
          <w:szCs w:val="36"/>
          <w:lang w:val="en-US" w:eastAsia="zh-CN"/>
        </w:rPr>
        <w:t>需求</w:t>
      </w:r>
      <w:r>
        <w:rPr>
          <w:rFonts w:hint="eastAsia" w:ascii="宋体" w:hAnsi="宋体" w:cs="宋体"/>
          <w:b/>
          <w:bCs/>
          <w:color w:val="000000"/>
          <w:sz w:val="32"/>
          <w:szCs w:val="36"/>
        </w:rPr>
        <w:t>差异</w:t>
      </w:r>
      <w:r>
        <w:rPr>
          <w:rFonts w:hint="eastAsia" w:ascii="宋体" w:hAnsi="宋体" w:cs="宋体"/>
          <w:b/>
          <w:bCs/>
          <w:color w:val="000000"/>
          <w:sz w:val="32"/>
          <w:szCs w:val="36"/>
          <w:lang w:val="en-US" w:eastAsia="zh-CN"/>
        </w:rPr>
        <w:t>对照</w:t>
      </w:r>
      <w:r>
        <w:rPr>
          <w:rFonts w:hint="eastAsia" w:ascii="宋体" w:hAnsi="宋体" w:cs="宋体"/>
          <w:b/>
          <w:bCs/>
          <w:color w:val="000000"/>
          <w:sz w:val="32"/>
          <w:szCs w:val="36"/>
        </w:rPr>
        <w:t>表</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2449"/>
        <w:gridCol w:w="3138"/>
        <w:gridCol w:w="1513"/>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1024"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序号</w:t>
            </w:r>
          </w:p>
        </w:tc>
        <w:tc>
          <w:tcPr>
            <w:tcW w:w="2393"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商务需求</w:t>
            </w:r>
          </w:p>
        </w:tc>
        <w:tc>
          <w:tcPr>
            <w:tcW w:w="3067" w:type="dxa"/>
            <w:noWrap w:val="0"/>
            <w:vAlign w:val="center"/>
          </w:tcPr>
          <w:p>
            <w:pPr>
              <w:tabs>
                <w:tab w:val="left" w:pos="6300"/>
              </w:tabs>
              <w:snapToGrid w:val="0"/>
              <w:spacing w:line="500" w:lineRule="exact"/>
              <w:rPr>
                <w:rFonts w:hint="default" w:ascii="宋体" w:hAnsi="宋体" w:eastAsia="宋体" w:cs="宋体"/>
                <w:color w:val="000000"/>
                <w:sz w:val="21"/>
                <w:szCs w:val="21"/>
                <w:lang w:val="en-US" w:eastAsia="zh-CN"/>
              </w:rPr>
            </w:pPr>
            <w:r>
              <w:rPr>
                <w:rFonts w:hint="eastAsia" w:ascii="宋体" w:hAnsi="宋体" w:cs="宋体"/>
                <w:color w:val="000000"/>
                <w:sz w:val="24"/>
                <w:szCs w:val="24"/>
                <w:lang w:val="en-US" w:eastAsia="zh-CN"/>
              </w:rPr>
              <w:t>响应情况</w:t>
            </w:r>
          </w:p>
        </w:tc>
        <w:tc>
          <w:tcPr>
            <w:tcW w:w="1479"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偏离情况</w:t>
            </w:r>
          </w:p>
        </w:tc>
        <w:tc>
          <w:tcPr>
            <w:tcW w:w="1659"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c>
          <w:tcPr>
            <w:tcW w:w="2393"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tabs>
          <w:tab w:val="left" w:pos="6300"/>
        </w:tabs>
        <w:snapToGrid w:val="0"/>
        <w:spacing w:line="500" w:lineRule="exact"/>
        <w:ind w:firstLine="570"/>
        <w:rPr>
          <w:rFonts w:hint="eastAsia" w:ascii="宋体" w:hAnsi="宋体" w:cs="宋体"/>
          <w:color w:val="000000"/>
          <w:sz w:val="24"/>
        </w:rPr>
      </w:pPr>
      <w:r>
        <w:rPr>
          <w:rFonts w:hint="eastAsia" w:ascii="宋体" w:hAnsi="宋体" w:cs="宋体"/>
          <w:color w:val="000000"/>
          <w:sz w:val="24"/>
        </w:rPr>
        <w:t>注：</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1.1.本表即为对本项目“</w:t>
      </w:r>
      <w:r>
        <w:rPr>
          <w:rFonts w:hint="eastAsia" w:ascii="宋体" w:hAnsi="宋体" w:cs="宋体"/>
          <w:color w:val="000000"/>
          <w:sz w:val="24"/>
          <w:szCs w:val="24"/>
          <w:lang w:val="en-US" w:eastAsia="zh-CN"/>
        </w:rPr>
        <w:t>二、商务需求</w:t>
      </w:r>
      <w:r>
        <w:rPr>
          <w:rFonts w:hint="eastAsia" w:ascii="宋体" w:hAnsi="宋体" w:cs="宋体"/>
          <w:color w:val="000000"/>
          <w:sz w:val="24"/>
          <w:szCs w:val="24"/>
        </w:rPr>
        <w:t>”中所列条款进行</w:t>
      </w:r>
      <w:r>
        <w:rPr>
          <w:rFonts w:hint="eastAsia" w:ascii="宋体" w:hAnsi="宋体" w:cs="宋体"/>
          <w:color w:val="000000"/>
          <w:sz w:val="24"/>
          <w:szCs w:val="24"/>
          <w:lang w:val="en-US" w:eastAsia="zh-CN"/>
        </w:rPr>
        <w:t>逐条</w:t>
      </w:r>
      <w:r>
        <w:rPr>
          <w:rFonts w:hint="eastAsia" w:ascii="宋体" w:hAnsi="宋体" w:cs="宋体"/>
          <w:color w:val="000000"/>
          <w:sz w:val="24"/>
          <w:szCs w:val="24"/>
        </w:rPr>
        <w:t>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3.竞选应答栏中应当注明技术参数或具体内容。表中必须标注技术参数或具体内容在竞选文件中的位置（页码）。</w:t>
      </w:r>
    </w:p>
    <w:p>
      <w:pPr>
        <w:keepNext/>
        <w:keepLines/>
        <w:adjustRightInd w:val="0"/>
        <w:snapToGrid w:val="0"/>
        <w:spacing w:line="400" w:lineRule="atLeast"/>
        <w:ind w:firstLine="480"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pacing w:line="594" w:lineRule="exact"/>
        <w:jc w:val="left"/>
        <w:rPr>
          <w:rFonts w:hint="eastAsia" w:ascii="仿宋_GB2312" w:eastAsia="仿宋_GB2312" w:cs="宋体"/>
          <w:color w:val="auto"/>
          <w:sz w:val="32"/>
          <w:szCs w:val="32"/>
          <w:lang w:val="en-US" w:eastAsia="zh-CN"/>
        </w:rPr>
      </w:pPr>
      <w:r>
        <w:rPr>
          <w:rFonts w:hint="eastAsia" w:ascii="仿宋_GB2312" w:hAnsi="宋体" w:eastAsia="仿宋_GB2312" w:cs="宋体"/>
          <w:color w:val="auto"/>
          <w:kern w:val="2"/>
          <w:sz w:val="32"/>
          <w:szCs w:val="32"/>
          <w:lang w:val="en-US" w:eastAsia="zh-CN" w:bidi="zh-CN"/>
        </w:rPr>
        <w:br w:type="page"/>
      </w:r>
      <w:r>
        <w:rPr>
          <w:rFonts w:hint="eastAsia" w:ascii="仿宋_GB2312" w:hAnsi="宋体" w:eastAsia="仿宋_GB2312" w:cs="宋体"/>
          <w:color w:val="auto"/>
          <w:kern w:val="2"/>
          <w:sz w:val="32"/>
          <w:szCs w:val="32"/>
          <w:lang w:val="en-US" w:eastAsia="zh-CN" w:bidi="zh-CN"/>
        </w:rPr>
        <w:t>售后服务承诺</w:t>
      </w:r>
    </w:p>
    <w:p>
      <w:pPr>
        <w:spacing w:line="594"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售后服务承诺</w:t>
      </w:r>
    </w:p>
    <w:p>
      <w:pPr>
        <w:spacing w:line="59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（主要包括质保期、售后服务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配送</w:t>
      </w:r>
      <w:r>
        <w:rPr>
          <w:rFonts w:hint="eastAsia" w:ascii="方正仿宋_GBK" w:hAnsi="方正仿宋_GBK" w:eastAsia="方正仿宋_GBK" w:cs="方正仿宋_GBK"/>
          <w:sz w:val="32"/>
          <w:szCs w:val="32"/>
        </w:rPr>
        <w:t>响应时间、培训计划等）</w:t>
      </w:r>
    </w:p>
    <w:p>
      <w:pPr>
        <w:pStyle w:val="2"/>
        <w:tabs>
          <w:tab w:val="left" w:pos="720"/>
        </w:tabs>
        <w:adjustRightInd w:val="0"/>
        <w:snapToGrid w:val="0"/>
        <w:spacing w:line="360" w:lineRule="auto"/>
        <w:ind w:left="720"/>
        <w:rPr>
          <w:rFonts w:hint="default" w:eastAsia="仿宋_GB2312"/>
          <w:color w:val="auto"/>
          <w:lang w:val="en-US" w:eastAsia="zh-CN"/>
        </w:rPr>
      </w:pPr>
    </w:p>
    <w:p>
      <w:pPr>
        <w:pStyle w:val="3"/>
        <w:rPr>
          <w:rFonts w:hint="default" w:ascii="仿宋_GB2312" w:eastAsia="仿宋_GB2312" w:cs="宋体"/>
          <w:color w:val="auto"/>
          <w:sz w:val="32"/>
          <w:szCs w:val="32"/>
          <w:lang w:val="en-US" w:eastAsia="zh-CN"/>
        </w:rPr>
      </w:pPr>
      <w:r>
        <w:rPr>
          <w:rFonts w:hint="eastAsia"/>
          <w:color w:val="auto"/>
        </w:rPr>
        <w:br w:type="page"/>
      </w:r>
      <w:r>
        <w:rPr>
          <w:rFonts w:hint="eastAsia" w:ascii="仿宋_GB2312" w:hAnsi="宋体" w:eastAsia="仿宋_GB2312" w:cs="宋体"/>
          <w:color w:val="auto"/>
          <w:kern w:val="2"/>
          <w:sz w:val="32"/>
          <w:szCs w:val="32"/>
          <w:lang w:val="en-US" w:eastAsia="zh-CN" w:bidi="zh-CN"/>
        </w:rPr>
        <w:t>本项目其他采购人的业绩资料（如合同或发票）。</w:t>
      </w:r>
    </w:p>
    <w:p>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color w:val="auto"/>
        </w:rPr>
        <w:br w:type="page"/>
      </w:r>
      <w:r>
        <w:rPr>
          <w:rFonts w:hint="eastAsia" w:ascii="仿宋_GB2312" w:hAnsi="宋体" w:eastAsia="仿宋_GB2312" w:cs="宋体"/>
          <w:color w:val="auto"/>
          <w:kern w:val="2"/>
          <w:sz w:val="32"/>
          <w:szCs w:val="32"/>
          <w:lang w:val="en-US" w:eastAsia="zh-CN" w:bidi="zh-CN"/>
        </w:rPr>
        <w:t xml:space="preserve"> </w:t>
      </w:r>
      <w:r>
        <w:rPr>
          <w:rFonts w:hint="eastAsia" w:ascii="仿宋" w:hAnsi="仿宋" w:eastAsia="仿宋"/>
          <w:b/>
          <w:snapToGrid w:val="0"/>
          <w:color w:val="auto"/>
          <w:kern w:val="0"/>
          <w:sz w:val="28"/>
          <w:szCs w:val="28"/>
        </w:rPr>
        <w:t xml:space="preserve">             </w:t>
      </w:r>
    </w:p>
    <w:p>
      <w:pPr>
        <w:adjustRightInd w:val="0"/>
        <w:snapToGrid w:val="0"/>
        <w:spacing w:before="156" w:beforeLines="50" w:line="360" w:lineRule="auto"/>
        <w:jc w:val="center"/>
        <w:rPr>
          <w:rFonts w:ascii="仿宋_GB2312" w:hAnsi="宋体" w:eastAsia="仿宋_GB2312"/>
          <w:b/>
          <w:snapToGrid w:val="0"/>
          <w:color w:val="auto"/>
          <w:kern w:val="0"/>
          <w:sz w:val="44"/>
          <w:szCs w:val="44"/>
        </w:rP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w:t>
      </w:r>
      <w:r>
        <w:rPr>
          <w:rFonts w:hint="eastAsia" w:ascii="仿宋_GB2312" w:hAnsi="宋体" w:eastAsia="仿宋_GB2312"/>
          <w:color w:val="auto"/>
          <w:sz w:val="24"/>
          <w:lang w:val="en-US" w:eastAsia="zh-CN"/>
        </w:rPr>
        <w:t>采购人</w:t>
      </w:r>
      <w:r>
        <w:rPr>
          <w:rFonts w:hint="eastAsia" w:ascii="仿宋_GB2312" w:hAnsi="宋体" w:eastAsia="仿宋_GB2312"/>
          <w:color w:val="auto"/>
          <w:sz w:val="24"/>
        </w:rPr>
        <w:t>资金的安全和有效使用以及投资效益，我公司做如下廉政承诺：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投标人遵守党、国家、行业、采购人的廉政纪律要求，已对相关相关人员进行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采购人及第三方合法权益</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采购人工作人员有违反廉政纪律要求的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将主动向采购人纪检监察室进行举报</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十一、违纪违法责任</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承诺将把投标保证金作为违约金向采购方支付，</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签订采购合同后才发现违规行为，按采购合同和医院供应商不良记录相关制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adjustRightInd w:val="0"/>
        <w:snapToGrid w:val="0"/>
        <w:spacing w:line="360" w:lineRule="auto"/>
        <w:ind w:firstLine="480" w:firstLineChars="200"/>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adjustRightInd w:val="0"/>
        <w:snapToGrid w:val="0"/>
        <w:spacing w:line="360" w:lineRule="auto"/>
        <w:ind w:left="8400" w:hanging="8400" w:hangingChars="3500"/>
        <w:jc w:val="left"/>
        <w:rPr>
          <w:rFonts w:ascii="仿宋_GB2312" w:hAnsi="宋体" w:eastAsia="仿宋_GB2312"/>
          <w:sz w:val="24"/>
        </w:rPr>
      </w:pPr>
      <w:r>
        <w:rPr>
          <w:rFonts w:hint="eastAsia" w:ascii="仿宋_GB2312" w:hAnsi="宋体" w:eastAsia="仿宋_GB2312"/>
          <w:sz w:val="24"/>
        </w:rPr>
        <w:t xml:space="preserve">承诺方：      （签字并加盖企业公章）                              </w:t>
      </w:r>
    </w:p>
    <w:p>
      <w:pPr>
        <w:wordWrap w:val="0"/>
        <w:adjustRightInd w:val="0"/>
        <w:snapToGrid w:val="0"/>
        <w:spacing w:line="360" w:lineRule="auto"/>
        <w:ind w:left="8400" w:hanging="8400" w:hangingChars="3500"/>
        <w:jc w:val="right"/>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3"/>
        <w:wordWrap w:val="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adjustRightInd w:val="0"/>
        <w:snapToGrid w:val="0"/>
        <w:spacing w:line="360" w:lineRule="auto"/>
        <w:ind w:left="8400" w:hanging="8400" w:hangingChars="350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Times New Roman"/>
          <w:kern w:val="2"/>
          <w:sz w:val="24"/>
          <w:szCs w:val="22"/>
          <w:lang w:val="en-US" w:eastAsia="zh-CN" w:bidi="ar-SA"/>
        </w:rPr>
        <w:t xml:space="preserve">                年   月   日</w:t>
      </w:r>
    </w:p>
    <w:p>
      <w:pPr>
        <w:widowControl/>
        <w:jc w:val="center"/>
        <w:rPr>
          <w:rFonts w:ascii="宋体" w:hAnsi="宋体" w:cs="宋体"/>
          <w:b/>
          <w:bCs/>
          <w:kern w:val="0"/>
          <w:sz w:val="32"/>
          <w:szCs w:val="32"/>
        </w:rPr>
      </w:pPr>
      <w:r>
        <w:rPr>
          <w:rFonts w:hint="eastAsia" w:ascii="仿宋_GB2312" w:hAnsi="宋体" w:eastAsia="仿宋_GB2312" w:cs="Times New Roman"/>
          <w:kern w:val="2"/>
          <w:sz w:val="24"/>
          <w:szCs w:val="22"/>
          <w:lang w:val="en-US" w:eastAsia="zh-CN" w:bidi="ar-SA"/>
        </w:rPr>
        <w:br w:type="page"/>
      </w:r>
      <w:r>
        <w:rPr>
          <w:rFonts w:hint="eastAsia" w:ascii="宋体" w:hAnsi="宋体" w:cs="宋体"/>
          <w:b/>
          <w:bCs/>
          <w:kern w:val="0"/>
          <w:sz w:val="32"/>
          <w:szCs w:val="32"/>
        </w:rPr>
        <w:t>医用耗材</w:t>
      </w:r>
      <w:r>
        <w:rPr>
          <w:rFonts w:hint="eastAsia" w:ascii="宋体" w:hAnsi="宋体" w:cs="宋体"/>
          <w:b/>
          <w:bCs/>
          <w:kern w:val="0"/>
          <w:sz w:val="32"/>
          <w:szCs w:val="32"/>
          <w:lang w:val="en-US" w:eastAsia="zh-CN"/>
        </w:rPr>
        <w:t>合同信息</w:t>
      </w:r>
      <w:r>
        <w:rPr>
          <w:rFonts w:hint="eastAsia" w:ascii="宋体" w:hAnsi="宋体" w:cs="宋体"/>
          <w:b/>
          <w:bCs/>
          <w:kern w:val="0"/>
          <w:sz w:val="32"/>
          <w:szCs w:val="32"/>
        </w:rPr>
        <w:t>表</w:t>
      </w:r>
    </w:p>
    <w:p>
      <w:pPr>
        <w:jc w:val="left"/>
        <w:rPr>
          <w:rFonts w:hint="default" w:eastAsia="宋体"/>
          <w:b/>
          <w:bCs/>
          <w:color w:val="auto"/>
          <w:szCs w:val="21"/>
          <w:shd w:val="clear" w:color="auto" w:fill="auto"/>
          <w:lang w:val="en-US" w:eastAsia="zh-CN"/>
        </w:rPr>
      </w:pPr>
      <w:permStart w:id="0" w:edGrp="everyone"/>
      <w:r>
        <w:rPr>
          <w:rFonts w:hint="eastAsia"/>
          <w:b/>
          <w:bCs/>
          <w:color w:val="auto"/>
          <w:szCs w:val="21"/>
          <w:shd w:val="clear" w:color="auto" w:fill="auto"/>
        </w:rPr>
        <w:t xml:space="preserve">供应商：    </w:t>
      </w:r>
      <w:r>
        <w:rPr>
          <w:rFonts w:hint="eastAsia"/>
          <w:b/>
          <w:bCs/>
          <w:color w:val="auto"/>
          <w:szCs w:val="21"/>
          <w:shd w:val="clear" w:color="auto" w:fill="auto"/>
          <w:lang w:val="en-US" w:eastAsia="zh-CN"/>
        </w:rPr>
        <w:t xml:space="preserve">                                    </w:t>
      </w:r>
      <w:r>
        <w:rPr>
          <w:rFonts w:hint="eastAsia"/>
          <w:b/>
          <w:bCs/>
          <w:color w:val="auto"/>
          <w:szCs w:val="21"/>
          <w:shd w:val="clear" w:color="auto" w:fill="auto"/>
        </w:rPr>
        <w:t>联系人：</w:t>
      </w:r>
      <w:r>
        <w:rPr>
          <w:b/>
          <w:bCs/>
          <w:color w:val="auto"/>
          <w:szCs w:val="21"/>
          <w:shd w:val="clear" w:color="auto" w:fill="auto"/>
        </w:rPr>
        <w:t xml:space="preserve"> </w:t>
      </w:r>
      <w:r>
        <w:rPr>
          <w:rFonts w:hint="eastAsia"/>
          <w:b/>
          <w:bCs/>
          <w:color w:val="auto"/>
          <w:szCs w:val="21"/>
          <w:shd w:val="clear" w:color="auto" w:fill="auto"/>
        </w:rPr>
        <w:t xml:space="preserve"> </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b/>
          <w:bCs/>
          <w:color w:val="auto"/>
          <w:szCs w:val="21"/>
          <w:shd w:val="clear" w:color="auto" w:fill="auto"/>
        </w:rPr>
      </w:pPr>
      <w:r>
        <w:rPr>
          <w:rFonts w:hint="eastAsia"/>
          <w:b/>
          <w:bCs/>
          <w:color w:val="auto"/>
          <w:szCs w:val="21"/>
          <w:shd w:val="clear" w:color="auto" w:fill="auto"/>
        </w:rPr>
        <w:t>联系电话</w:t>
      </w:r>
      <w:r>
        <w:rPr>
          <w:rFonts w:hint="eastAsia"/>
          <w:b/>
          <w:bCs/>
          <w:color w:val="auto"/>
          <w:szCs w:val="21"/>
          <w:shd w:val="clear" w:color="auto" w:fill="auto"/>
          <w:lang w:eastAsia="zh-CN"/>
        </w:rPr>
        <w:t>：</w:t>
      </w:r>
      <w:r>
        <w:rPr>
          <w:b/>
          <w:bCs/>
          <w:color w:val="auto"/>
          <w:szCs w:val="21"/>
          <w:shd w:val="clear" w:color="auto" w:fill="auto"/>
        </w:rPr>
        <w:t xml:space="preserve">         </w:t>
      </w:r>
    </w:p>
    <w:tbl>
      <w:tblPr>
        <w:tblStyle w:val="9"/>
        <w:tblW w:w="9836" w:type="dxa"/>
        <w:jc w:val="center"/>
        <w:tblLayout w:type="fixed"/>
        <w:tblCellMar>
          <w:top w:w="0" w:type="dxa"/>
          <w:left w:w="108" w:type="dxa"/>
          <w:bottom w:w="0" w:type="dxa"/>
          <w:right w:w="108" w:type="dxa"/>
        </w:tblCellMar>
      </w:tblPr>
      <w:tblGrid>
        <w:gridCol w:w="625"/>
        <w:gridCol w:w="1665"/>
        <w:gridCol w:w="1500"/>
        <w:gridCol w:w="1476"/>
        <w:gridCol w:w="1142"/>
        <w:gridCol w:w="742"/>
        <w:gridCol w:w="813"/>
        <w:gridCol w:w="868"/>
        <w:gridCol w:w="1005"/>
      </w:tblGrid>
      <w:tr>
        <w:tblPrEx>
          <w:tblCellMar>
            <w:top w:w="0" w:type="dxa"/>
            <w:left w:w="108" w:type="dxa"/>
            <w:bottom w:w="0" w:type="dxa"/>
            <w:right w:w="108" w:type="dxa"/>
          </w:tblCellMar>
        </w:tblPrEx>
        <w:trPr>
          <w:trHeight w:val="624"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编号</w:t>
            </w:r>
          </w:p>
        </w:tc>
        <w:tc>
          <w:tcPr>
            <w:tcW w:w="166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产品名称</w:t>
            </w:r>
          </w:p>
        </w:tc>
        <w:tc>
          <w:tcPr>
            <w:tcW w:w="15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规格型号</w:t>
            </w:r>
          </w:p>
        </w:tc>
        <w:tc>
          <w:tcPr>
            <w:tcW w:w="147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注册证号</w:t>
            </w: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厂家</w:t>
            </w:r>
          </w:p>
        </w:tc>
        <w:tc>
          <w:tcPr>
            <w:tcW w:w="7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单位</w:t>
            </w:r>
          </w:p>
        </w:tc>
        <w:tc>
          <w:tcPr>
            <w:tcW w:w="8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单价（元）</w:t>
            </w: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备注</w:t>
            </w: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b/>
                <w:bCs/>
                <w:color w:val="auto"/>
                <w:kern w:val="0"/>
                <w:sz w:val="20"/>
                <w:szCs w:val="21"/>
                <w:shd w:val="clear" w:color="auto" w:fill="auto"/>
                <w:lang w:val="en-US" w:eastAsia="zh-CN"/>
              </w:rPr>
            </w:pPr>
            <w:r>
              <w:rPr>
                <w:rFonts w:hint="eastAsia" w:ascii="宋体" w:hAnsi="宋体" w:eastAsia="宋体" w:cs="宋体"/>
                <w:b/>
                <w:bCs/>
                <w:color w:val="auto"/>
                <w:kern w:val="0"/>
                <w:sz w:val="20"/>
                <w:szCs w:val="21"/>
                <w:highlight w:val="none"/>
                <w:shd w:val="clear" w:color="auto" w:fill="auto"/>
                <w:lang w:val="en-US" w:eastAsia="zh-CN"/>
              </w:rPr>
              <w:t>采购方式</w:t>
            </w:r>
            <w:r>
              <w:rPr>
                <w:rFonts w:hint="eastAsia" w:ascii="宋体" w:hAnsi="宋体" w:cs="宋体"/>
                <w:b/>
                <w:bCs/>
                <w:color w:val="auto"/>
                <w:kern w:val="0"/>
                <w:sz w:val="20"/>
                <w:szCs w:val="21"/>
                <w:highlight w:val="none"/>
                <w:shd w:val="clear" w:color="auto" w:fill="auto"/>
                <w:lang w:val="en-US" w:eastAsia="zh-CN"/>
              </w:rPr>
              <w:t>（线上采购或线上备案采购）</w:t>
            </w: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permEnd w:id="0"/>
    </w:tbl>
    <w:p>
      <w:pPr>
        <w:widowControl/>
        <w:jc w:val="left"/>
        <w:rPr>
          <w:rFonts w:hint="default" w:ascii="宋体" w:hAnsi="宋体" w:eastAsia="宋体"/>
          <w:b w:val="0"/>
          <w:bCs/>
          <w:color w:val="000000"/>
          <w:sz w:val="28"/>
          <w:szCs w:val="28"/>
          <w:lang w:val="en-US" w:eastAsia="zh-CN"/>
        </w:rPr>
      </w:pPr>
      <w:r>
        <w:rPr>
          <w:rFonts w:hint="eastAsia" w:ascii="宋体" w:hAnsi="宋体"/>
          <w:b w:val="0"/>
          <w:bCs/>
          <w:color w:val="000000"/>
          <w:sz w:val="28"/>
          <w:szCs w:val="28"/>
          <w:lang w:val="en-US" w:eastAsia="zh-CN"/>
        </w:rPr>
        <w:t>注：此表中的单位是用于与供应商结算费用的价格依据，采购遴选文件限价中的单位和此表单位如有不同，请供应商按照产品说明书或行业规范进行单位换算。如遴选文件的限价单位为人份，而合同的结算单位为盒/瓶，需按照产品说明书或行业规范明确每人份的用量，同时每个品牌产品每人份用量可能不同，最终每人份用量需采购单位申请科室负责人审核同意，按照公式结算：每人份最终成交价*（产品一盒或瓶/每人份的用量）=每盒/瓶的价格。</w:t>
      </w:r>
    </w:p>
    <w:p>
      <w:pPr>
        <w:pStyle w:val="3"/>
        <w:jc w:val="both"/>
        <w:rPr>
          <w:rFonts w:hint="eastAsia" w:ascii="仿宋_GB2312" w:eastAsia="仿宋_GB2312" w:cs="宋体"/>
          <w:color w:val="auto"/>
          <w:sz w:val="32"/>
          <w:szCs w:val="32"/>
          <w:lang w:val="en-US" w:eastAsia="zh-CN"/>
        </w:rPr>
      </w:pPr>
      <w:r>
        <w:rPr>
          <w:rFonts w:hint="eastAsia" w:ascii="仿宋_GB2312" w:hAnsi="宋体" w:eastAsia="仿宋_GB2312" w:cs="Times New Roman"/>
          <w:kern w:val="2"/>
          <w:sz w:val="24"/>
          <w:szCs w:val="22"/>
          <w:lang w:val="en-US" w:eastAsia="zh-CN" w:bidi="ar-SA"/>
        </w:rPr>
        <w:br w:type="page"/>
      </w:r>
      <w:r>
        <w:rPr>
          <w:rFonts w:hint="eastAsia" w:ascii="仿宋_GB2312" w:hAnsi="宋体" w:eastAsia="仿宋_GB2312" w:cs="宋体"/>
          <w:color w:val="auto"/>
          <w:sz w:val="32"/>
          <w:szCs w:val="32"/>
          <w:lang w:val="en-US" w:eastAsia="zh-CN"/>
        </w:rPr>
        <w:t>本页为供应商响应文件密封要求（</w:t>
      </w:r>
      <w:r>
        <w:rPr>
          <w:rFonts w:hint="eastAsia" w:ascii="仿宋_GB2312" w:eastAsia="仿宋_GB2312" w:cs="宋体"/>
          <w:color w:val="auto"/>
          <w:sz w:val="32"/>
          <w:szCs w:val="32"/>
          <w:lang w:val="en-US" w:eastAsia="zh-CN"/>
        </w:rPr>
        <w:t>正本一份、副本三份，一并装入密封档案袋中）</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6"/>
                    <a:stretch>
                      <a:fillRect/>
                    </a:stretch>
                  </pic:blipFill>
                  <pic:spPr>
                    <a:xfrm>
                      <a:off x="0" y="0"/>
                      <a:ext cx="3073400" cy="4010025"/>
                    </a:xfrm>
                    <a:prstGeom prst="rect">
                      <a:avLst/>
                    </a:prstGeom>
                    <a:noFill/>
                    <a:ln>
                      <a:noFill/>
                    </a:ln>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7"/>
                    <a:stretch>
                      <a:fillRect/>
                    </a:stretch>
                  </pic:blipFill>
                  <pic:spPr>
                    <a:xfrm>
                      <a:off x="0" y="0"/>
                      <a:ext cx="3068320" cy="3910330"/>
                    </a:xfrm>
                    <a:prstGeom prst="rect">
                      <a:avLst/>
                    </a:prstGeom>
                    <a:noFill/>
                    <a:ln>
                      <a:noFill/>
                    </a:ln>
                  </pic:spPr>
                </pic:pic>
              </a:graphicData>
            </a:graphic>
          </wp:inline>
        </w:drawing>
      </w:r>
    </w:p>
    <w:p>
      <w:pPr>
        <w:adjustRightInd w:val="0"/>
        <w:snapToGrid w:val="0"/>
        <w:spacing w:line="360" w:lineRule="auto"/>
        <w:jc w:val="left"/>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gf3J8zwEAAKQDAAAOAAAAAAAAAAEAIAAAAB4BAABkcnMv&#10;ZTJvRG9jLnhtbFBLBQYAAAAABgAGAFkBAABfBQAAAAA=&#10;">
              <v:fill on="f" focussize="0,0"/>
              <v:stroke on="f"/>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2DE53"/>
    <w:multiLevelType w:val="singleLevel"/>
    <w:tmpl w:val="E302DE53"/>
    <w:lvl w:ilvl="0" w:tentative="0">
      <w:start w:val="4"/>
      <w:numFmt w:val="decimal"/>
      <w:lvlText w:val="%1."/>
      <w:lvlJc w:val="left"/>
      <w:pPr>
        <w:tabs>
          <w:tab w:val="left" w:pos="312"/>
        </w:tabs>
      </w:pPr>
    </w:lvl>
  </w:abstractNum>
  <w:abstractNum w:abstractNumId="1">
    <w:nsid w:val="30CCD91D"/>
    <w:multiLevelType w:val="singleLevel"/>
    <w:tmpl w:val="30CCD91D"/>
    <w:lvl w:ilvl="0" w:tentative="0">
      <w:start w:val="1"/>
      <w:numFmt w:val="chineseCounting"/>
      <w:suff w:val="nothing"/>
      <w:lvlText w:val="%1、"/>
      <w:lvlJc w:val="left"/>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NGZhNGMxOGQ3MjNjMzZlZGNmYzU1Mzk5NTY3YjMifQ=="/>
  </w:docVars>
  <w:rsids>
    <w:rsidRoot w:val="00E445E0"/>
    <w:rsid w:val="00086457"/>
    <w:rsid w:val="001C5FBC"/>
    <w:rsid w:val="00244B87"/>
    <w:rsid w:val="005F7C31"/>
    <w:rsid w:val="00A252A4"/>
    <w:rsid w:val="00DC5030"/>
    <w:rsid w:val="00E445E0"/>
    <w:rsid w:val="00E52128"/>
    <w:rsid w:val="00F57EB8"/>
    <w:rsid w:val="00F61DFC"/>
    <w:rsid w:val="01912D5A"/>
    <w:rsid w:val="01F43647"/>
    <w:rsid w:val="01FC2334"/>
    <w:rsid w:val="03177D0D"/>
    <w:rsid w:val="03214205"/>
    <w:rsid w:val="034E307D"/>
    <w:rsid w:val="038E466A"/>
    <w:rsid w:val="03D451A1"/>
    <w:rsid w:val="04314362"/>
    <w:rsid w:val="045301F6"/>
    <w:rsid w:val="045A10E2"/>
    <w:rsid w:val="054A568F"/>
    <w:rsid w:val="05A1651B"/>
    <w:rsid w:val="07043A2A"/>
    <w:rsid w:val="078057A6"/>
    <w:rsid w:val="07BF7925"/>
    <w:rsid w:val="08183C31"/>
    <w:rsid w:val="08305016"/>
    <w:rsid w:val="0A0126EF"/>
    <w:rsid w:val="0A2C7BD0"/>
    <w:rsid w:val="0AEF7612"/>
    <w:rsid w:val="0B2964A2"/>
    <w:rsid w:val="0B982A6A"/>
    <w:rsid w:val="0C1A03FD"/>
    <w:rsid w:val="0CCC45BD"/>
    <w:rsid w:val="0D92520D"/>
    <w:rsid w:val="0E74655B"/>
    <w:rsid w:val="0F2E7B6F"/>
    <w:rsid w:val="0F5C53DF"/>
    <w:rsid w:val="0F776B4A"/>
    <w:rsid w:val="1060172D"/>
    <w:rsid w:val="11135531"/>
    <w:rsid w:val="111663BA"/>
    <w:rsid w:val="1127726F"/>
    <w:rsid w:val="116640D2"/>
    <w:rsid w:val="127D5626"/>
    <w:rsid w:val="12C54103"/>
    <w:rsid w:val="133C6AD5"/>
    <w:rsid w:val="152F444C"/>
    <w:rsid w:val="153F3EC8"/>
    <w:rsid w:val="18287DF6"/>
    <w:rsid w:val="18750FA5"/>
    <w:rsid w:val="187A3C70"/>
    <w:rsid w:val="189221C7"/>
    <w:rsid w:val="18A961DF"/>
    <w:rsid w:val="193C6C24"/>
    <w:rsid w:val="19B0630C"/>
    <w:rsid w:val="19BF58A1"/>
    <w:rsid w:val="19C9042A"/>
    <w:rsid w:val="19E31E2D"/>
    <w:rsid w:val="1B672584"/>
    <w:rsid w:val="1BDB1DFC"/>
    <w:rsid w:val="1C2E45B1"/>
    <w:rsid w:val="1C5F20F6"/>
    <w:rsid w:val="1CF64572"/>
    <w:rsid w:val="1F4E6F21"/>
    <w:rsid w:val="1F9F1AB3"/>
    <w:rsid w:val="206B29E9"/>
    <w:rsid w:val="217A21C5"/>
    <w:rsid w:val="22E50F79"/>
    <w:rsid w:val="247C1983"/>
    <w:rsid w:val="260375AF"/>
    <w:rsid w:val="265D3914"/>
    <w:rsid w:val="26E75571"/>
    <w:rsid w:val="27897907"/>
    <w:rsid w:val="2A641BEC"/>
    <w:rsid w:val="2A9E4D57"/>
    <w:rsid w:val="2C3D17A3"/>
    <w:rsid w:val="2C4E3A86"/>
    <w:rsid w:val="2D0D69E1"/>
    <w:rsid w:val="2D122324"/>
    <w:rsid w:val="2D2944BE"/>
    <w:rsid w:val="2D875292"/>
    <w:rsid w:val="2E4F1A10"/>
    <w:rsid w:val="2F480F12"/>
    <w:rsid w:val="2FBB1EC7"/>
    <w:rsid w:val="30B77259"/>
    <w:rsid w:val="31747F90"/>
    <w:rsid w:val="31EC6056"/>
    <w:rsid w:val="322D045B"/>
    <w:rsid w:val="336B6A5B"/>
    <w:rsid w:val="34817B05"/>
    <w:rsid w:val="34E96C65"/>
    <w:rsid w:val="35B37CD8"/>
    <w:rsid w:val="35F91BA0"/>
    <w:rsid w:val="36455513"/>
    <w:rsid w:val="36592E47"/>
    <w:rsid w:val="36B97ADD"/>
    <w:rsid w:val="375A4E1C"/>
    <w:rsid w:val="37922606"/>
    <w:rsid w:val="37EE614D"/>
    <w:rsid w:val="395A55A8"/>
    <w:rsid w:val="39670BA3"/>
    <w:rsid w:val="397F3D71"/>
    <w:rsid w:val="3A022CB0"/>
    <w:rsid w:val="3A073743"/>
    <w:rsid w:val="3CCA1B30"/>
    <w:rsid w:val="3E633BE2"/>
    <w:rsid w:val="41E440AB"/>
    <w:rsid w:val="41EF5F53"/>
    <w:rsid w:val="42784D13"/>
    <w:rsid w:val="42F0276A"/>
    <w:rsid w:val="43533C25"/>
    <w:rsid w:val="4365514D"/>
    <w:rsid w:val="4413072B"/>
    <w:rsid w:val="446D3310"/>
    <w:rsid w:val="44BE681C"/>
    <w:rsid w:val="45A7242F"/>
    <w:rsid w:val="46B90089"/>
    <w:rsid w:val="46F936A8"/>
    <w:rsid w:val="4755437D"/>
    <w:rsid w:val="47AF4141"/>
    <w:rsid w:val="47EB247B"/>
    <w:rsid w:val="48481EDA"/>
    <w:rsid w:val="4B01127E"/>
    <w:rsid w:val="4C071622"/>
    <w:rsid w:val="4D380C2E"/>
    <w:rsid w:val="4EA57B48"/>
    <w:rsid w:val="50D61909"/>
    <w:rsid w:val="533A196A"/>
    <w:rsid w:val="545F09D6"/>
    <w:rsid w:val="549A5A48"/>
    <w:rsid w:val="56703AD1"/>
    <w:rsid w:val="56CB70C2"/>
    <w:rsid w:val="572F0FEC"/>
    <w:rsid w:val="57DB33E3"/>
    <w:rsid w:val="588C4742"/>
    <w:rsid w:val="59A13C20"/>
    <w:rsid w:val="59BB2054"/>
    <w:rsid w:val="5A100027"/>
    <w:rsid w:val="5A512369"/>
    <w:rsid w:val="5A5B0C64"/>
    <w:rsid w:val="5B716309"/>
    <w:rsid w:val="5C3A2DA7"/>
    <w:rsid w:val="5C5032DC"/>
    <w:rsid w:val="5C78446B"/>
    <w:rsid w:val="5D005BEB"/>
    <w:rsid w:val="5D19692A"/>
    <w:rsid w:val="5E9A5433"/>
    <w:rsid w:val="5F680545"/>
    <w:rsid w:val="5FC72C41"/>
    <w:rsid w:val="60A32FC7"/>
    <w:rsid w:val="60AF6D3F"/>
    <w:rsid w:val="60BC4792"/>
    <w:rsid w:val="622A5268"/>
    <w:rsid w:val="62BA0AE5"/>
    <w:rsid w:val="63B41BA1"/>
    <w:rsid w:val="63C86061"/>
    <w:rsid w:val="65051C35"/>
    <w:rsid w:val="65825D08"/>
    <w:rsid w:val="65C64E6A"/>
    <w:rsid w:val="661C43A8"/>
    <w:rsid w:val="673D548B"/>
    <w:rsid w:val="6870599E"/>
    <w:rsid w:val="68977D49"/>
    <w:rsid w:val="68A37B22"/>
    <w:rsid w:val="69D16388"/>
    <w:rsid w:val="69F33675"/>
    <w:rsid w:val="6A502784"/>
    <w:rsid w:val="6B355B70"/>
    <w:rsid w:val="6B3B2D19"/>
    <w:rsid w:val="6D406C99"/>
    <w:rsid w:val="6DA93E2C"/>
    <w:rsid w:val="6DC35E66"/>
    <w:rsid w:val="6E2521BC"/>
    <w:rsid w:val="6E2F6425"/>
    <w:rsid w:val="6E3E05AF"/>
    <w:rsid w:val="6E9248C1"/>
    <w:rsid w:val="6FB1521A"/>
    <w:rsid w:val="708539A9"/>
    <w:rsid w:val="73054CC1"/>
    <w:rsid w:val="73B16225"/>
    <w:rsid w:val="740F0761"/>
    <w:rsid w:val="74195F93"/>
    <w:rsid w:val="74581E2E"/>
    <w:rsid w:val="748822F3"/>
    <w:rsid w:val="748930CA"/>
    <w:rsid w:val="76383848"/>
    <w:rsid w:val="76CA13F7"/>
    <w:rsid w:val="77716110"/>
    <w:rsid w:val="78B02C8E"/>
    <w:rsid w:val="78C334AB"/>
    <w:rsid w:val="7907664D"/>
    <w:rsid w:val="7A4128DE"/>
    <w:rsid w:val="7A5D40AB"/>
    <w:rsid w:val="7AAC1247"/>
    <w:rsid w:val="7B2C0FDB"/>
    <w:rsid w:val="7EF026B4"/>
    <w:rsid w:val="7FB240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4"/>
    <w:qFormat/>
    <w:uiPriority w:val="0"/>
    <w:pPr>
      <w:keepNext/>
      <w:keepLines/>
      <w:spacing w:line="440" w:lineRule="exact"/>
      <w:jc w:val="center"/>
      <w:outlineLvl w:val="1"/>
    </w:pPr>
    <w:rPr>
      <w:rFonts w:ascii="仿宋_GB2312" w:hAnsi="Arial" w:eastAsia="仿宋_GB2312"/>
      <w:b/>
      <w:sz w:val="2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w:basedOn w:val="1"/>
    <w:next w:val="1"/>
    <w:link w:val="15"/>
    <w:qFormat/>
    <w:uiPriority w:val="1"/>
    <w:rPr>
      <w:rFonts w:ascii="宋体" w:hAnsi="宋体" w:cs="宋体"/>
      <w:sz w:val="24"/>
      <w:szCs w:val="24"/>
      <w:lang w:val="zh-CN" w:bidi="zh-CN"/>
    </w:rPr>
  </w:style>
  <w:style w:type="paragraph" w:styleId="4">
    <w:name w:val="Date"/>
    <w:basedOn w:val="1"/>
    <w:next w:val="1"/>
    <w:link w:val="16"/>
    <w:qFormat/>
    <w:uiPriority w:val="0"/>
    <w:rPr>
      <w:sz w:val="28"/>
    </w:rPr>
  </w:style>
  <w:style w:type="paragraph" w:styleId="5">
    <w:name w:val="footer"/>
    <w:basedOn w:val="1"/>
    <w:link w:val="17"/>
    <w:qFormat/>
    <w:uiPriority w:val="0"/>
    <w:pPr>
      <w:tabs>
        <w:tab w:val="center" w:pos="4153"/>
        <w:tab w:val="right" w:pos="8306"/>
      </w:tabs>
      <w:snapToGrid w:val="0"/>
      <w:jc w:val="left"/>
    </w:pPr>
    <w:rPr>
      <w:sz w:val="18"/>
    </w:rPr>
  </w:style>
  <w:style w:type="paragraph" w:styleId="6">
    <w:name w:val="header"/>
    <w:basedOn w:val="1"/>
    <w:link w:val="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22"/>
    <w:rPr>
      <w:b/>
    </w:rPr>
  </w:style>
  <w:style w:type="character" w:styleId="12">
    <w:name w:val="page number"/>
    <w:basedOn w:val="10"/>
    <w:qFormat/>
    <w:uiPriority w:val="0"/>
  </w:style>
  <w:style w:type="character" w:styleId="13">
    <w:name w:val="Hyperlink"/>
    <w:basedOn w:val="10"/>
    <w:semiHidden/>
    <w:unhideWhenUsed/>
    <w:qFormat/>
    <w:uiPriority w:val="99"/>
    <w:rPr>
      <w:color w:val="0000FF"/>
      <w:u w:val="single"/>
    </w:rPr>
  </w:style>
  <w:style w:type="character" w:customStyle="1" w:styleId="14">
    <w:name w:val="标题 2 Char"/>
    <w:link w:val="2"/>
    <w:qFormat/>
    <w:uiPriority w:val="0"/>
    <w:rPr>
      <w:rFonts w:ascii="仿宋_GB2312" w:hAnsi="Arial" w:eastAsia="仿宋_GB2312" w:cs="Times New Roman"/>
      <w:b/>
      <w:sz w:val="24"/>
      <w:szCs w:val="20"/>
    </w:rPr>
  </w:style>
  <w:style w:type="character" w:customStyle="1" w:styleId="15">
    <w:name w:val="正文文本 Char"/>
    <w:link w:val="3"/>
    <w:qFormat/>
    <w:uiPriority w:val="1"/>
    <w:rPr>
      <w:rFonts w:ascii="宋体" w:hAnsi="宋体" w:eastAsia="宋体" w:cs="宋体"/>
      <w:sz w:val="24"/>
      <w:szCs w:val="24"/>
      <w:lang w:val="zh-CN" w:bidi="zh-CN"/>
    </w:rPr>
  </w:style>
  <w:style w:type="character" w:customStyle="1" w:styleId="16">
    <w:name w:val="日期 Char"/>
    <w:link w:val="4"/>
    <w:qFormat/>
    <w:uiPriority w:val="0"/>
    <w:rPr>
      <w:rFonts w:ascii="Times New Roman" w:hAnsi="Times New Roman" w:eastAsia="宋体" w:cs="Times New Roman"/>
      <w:sz w:val="28"/>
      <w:szCs w:val="20"/>
    </w:rPr>
  </w:style>
  <w:style w:type="character" w:customStyle="1" w:styleId="17">
    <w:name w:val="页脚 Char"/>
    <w:link w:val="5"/>
    <w:qFormat/>
    <w:uiPriority w:val="0"/>
    <w:rPr>
      <w:rFonts w:ascii="Times New Roman" w:hAnsi="Times New Roman" w:eastAsia="宋体" w:cs="Times New Roman"/>
      <w:sz w:val="18"/>
      <w:szCs w:val="20"/>
    </w:rPr>
  </w:style>
  <w:style w:type="character" w:customStyle="1" w:styleId="18">
    <w:name w:val="页眉 Char"/>
    <w:link w:val="6"/>
    <w:qFormat/>
    <w:uiPriority w:val="0"/>
    <w:rPr>
      <w:rFonts w:ascii="Times New Roman" w:hAnsi="Times New Roman" w:eastAsia="宋体" w:cs="Times New Roman"/>
      <w:sz w:val="18"/>
      <w:szCs w:val="20"/>
    </w:rPr>
  </w:style>
  <w:style w:type="paragraph" w:customStyle="1" w:styleId="19">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1"/>
    <w:qFormat/>
    <w:uiPriority w:val="0"/>
    <w:pPr>
      <w:widowControl w:val="0"/>
      <w:jc w:val="both"/>
    </w:pPr>
    <w:rPr>
      <w:rFonts w:ascii="Tahoma" w:hAnsi="Tahoma" w:eastAsia="Arial Unicode MS" w:cs="Arial Unicode MS"/>
      <w:color w:val="000000"/>
      <w:kern w:val="2"/>
      <w:sz w:val="24"/>
      <w:szCs w:val="24"/>
      <w:u w:val="none" w:color="000000"/>
      <w:lang w:val="en-US" w:eastAsia="zh-CN" w:bidi="ar-SA"/>
    </w:rPr>
  </w:style>
  <w:style w:type="paragraph" w:customStyle="1" w:styleId="21">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d24a6c-b63f-4b7a-859f-7e19df812eec}"/>
        <w:style w:val=""/>
        <w:category>
          <w:name w:val="常规"/>
          <w:gallery w:val="placeholder"/>
        </w:category>
        <w:types>
          <w:type w:val="bbPlcHdr"/>
        </w:types>
        <w:behaviors>
          <w:behavior w:val="content"/>
        </w:behaviors>
        <w:description w:val=""/>
        <w:guid w:val="{97d24a6c-b63f-4b7a-859f-7e19df812eec}"/>
      </w:docPartPr>
      <w:docPartBody>
        <w:p>
          <w:r>
            <w:rPr>
              <w:color w:val="808080"/>
            </w:rPr>
            <w:t>选择一项。</w:t>
          </w:r>
        </w:p>
      </w:docPartBody>
    </w:docPart>
    <w:docPart>
      <w:docPartPr>
        <w:name w:val="{4755b2f9-e2ef-4414-91f6-039239af3052}"/>
        <w:style w:val=""/>
        <w:category>
          <w:name w:val="常规"/>
          <w:gallery w:val="placeholder"/>
        </w:category>
        <w:types>
          <w:type w:val="bbPlcHdr"/>
        </w:types>
        <w:behaviors>
          <w:behavior w:val="content"/>
        </w:behaviors>
        <w:description w:val=""/>
        <w:guid w:val="{4755b2f9-e2ef-4414-91f6-039239af3052}"/>
      </w:docPartPr>
      <w:docPartBody>
        <w:p>
          <w:r>
            <w:rPr>
              <w:color w:val="808080"/>
            </w:rPr>
            <w:t>选择一项。</w:t>
          </w:r>
        </w:p>
      </w:docPartBody>
    </w:docPart>
    <w:docPart>
      <w:docPartPr>
        <w:name w:val="{9accb560-9c52-468b-bdb7-577a62b2f1dc}"/>
        <w:style w:val=""/>
        <w:category>
          <w:name w:val="常规"/>
          <w:gallery w:val="placeholder"/>
        </w:category>
        <w:types>
          <w:type w:val="bbPlcHdr"/>
        </w:types>
        <w:behaviors>
          <w:behavior w:val="content"/>
        </w:behaviors>
        <w:description w:val=""/>
        <w:guid w:val="{9accb560-9c52-468b-bdb7-577a62b2f1dc}"/>
      </w:docPartPr>
      <w:docPartBody>
        <w:p>
          <w:r>
            <w:rPr>
              <w:color w:val="808080"/>
            </w:rPr>
            <w:t>选择一项。</w:t>
          </w:r>
        </w:p>
      </w:docPartBody>
    </w:docPart>
    <w:docPart>
      <w:docPartPr>
        <w:name w:val="{914031a2-64af-4179-8eb5-e4265f6540a4}"/>
        <w:style w:val=""/>
        <w:category>
          <w:name w:val="常规"/>
          <w:gallery w:val="placeholder"/>
        </w:category>
        <w:types>
          <w:type w:val="bbPlcHdr"/>
        </w:types>
        <w:behaviors>
          <w:behavior w:val="content"/>
        </w:behaviors>
        <w:description w:val=""/>
        <w:guid w:val="{914031a2-64af-4179-8eb5-e4265f6540a4}"/>
      </w:docPartPr>
      <w:docPartBody>
        <w:p>
          <w:r>
            <w:rPr>
              <w:color w:val="808080"/>
            </w:rPr>
            <w:t>选择一项。</w:t>
          </w:r>
        </w:p>
      </w:docPartBody>
    </w:docPart>
    <w:docPart>
      <w:docPartPr>
        <w:name w:val="{04779044-3567-4cbf-b813-756178d14167}"/>
        <w:style w:val=""/>
        <w:category>
          <w:name w:val="常规"/>
          <w:gallery w:val="placeholder"/>
        </w:category>
        <w:types>
          <w:type w:val="bbPlcHdr"/>
        </w:types>
        <w:behaviors>
          <w:behavior w:val="content"/>
        </w:behaviors>
        <w:description w:val=""/>
        <w:guid w:val="{04779044-3567-4cbf-b813-756178d14167}"/>
      </w:docPartPr>
      <w:docPartBody>
        <w:p>
          <w:r>
            <w:rPr>
              <w:color w:val="808080"/>
            </w:rPr>
            <w:t>选择一项。</w:t>
          </w:r>
        </w:p>
      </w:docPartBody>
    </w:docPart>
    <w:docPart>
      <w:docPartPr>
        <w:name w:val="{2c229ad4-efe3-46d4-bf14-f4f33bcf04af}"/>
        <w:style w:val=""/>
        <w:category>
          <w:name w:val="常规"/>
          <w:gallery w:val="placeholder"/>
        </w:category>
        <w:types>
          <w:type w:val="bbPlcHdr"/>
        </w:types>
        <w:behaviors>
          <w:behavior w:val="content"/>
        </w:behaviors>
        <w:description w:val=""/>
        <w:guid w:val="{2c229ad4-efe3-46d4-bf14-f4f33bcf04af}"/>
      </w:docPartPr>
      <w:docPartBody>
        <w:p>
          <w:r>
            <w:rPr>
              <w:color w:val="808080"/>
            </w:rPr>
            <w:t>选择一项。</w:t>
          </w:r>
        </w:p>
      </w:docPartBody>
    </w:docPart>
    <w:docPart>
      <w:docPartPr>
        <w:name w:val="{11471fa2-f1b6-497a-9395-019fbf1fa4df}"/>
        <w:style w:val=""/>
        <w:category>
          <w:name w:val="常规"/>
          <w:gallery w:val="placeholder"/>
        </w:category>
        <w:types>
          <w:type w:val="bbPlcHdr"/>
        </w:types>
        <w:behaviors>
          <w:behavior w:val="content"/>
        </w:behaviors>
        <w:description w:val=""/>
        <w:guid w:val="{11471fa2-f1b6-497a-9395-019fbf1fa4df}"/>
      </w:docPartPr>
      <w:docPartBody>
        <w:p>
          <w:r>
            <w:rPr>
              <w:color w:val="808080"/>
            </w:rPr>
            <w:t>选择一项。</w:t>
          </w:r>
        </w:p>
      </w:docPartBody>
    </w:docPart>
    <w:docPart>
      <w:docPartPr>
        <w:name w:val="{94dff7fd-3eb4-472e-821d-242a27600750}"/>
        <w:style w:val=""/>
        <w:category>
          <w:name w:val="常规"/>
          <w:gallery w:val="placeholder"/>
        </w:category>
        <w:types>
          <w:type w:val="bbPlcHdr"/>
        </w:types>
        <w:behaviors>
          <w:behavior w:val="content"/>
        </w:behaviors>
        <w:description w:val=""/>
        <w:guid w:val="{94dff7fd-3eb4-472e-821d-242a27600750}"/>
      </w:docPartPr>
      <w:docPartBody>
        <w:p>
          <w:r>
            <w:rPr>
              <w:color w:val="808080"/>
            </w:rPr>
            <w:t>选择一项。</w:t>
          </w:r>
        </w:p>
      </w:docPartBody>
    </w:docPart>
    <w:docPart>
      <w:docPartPr>
        <w:name w:val="{c241c932-466d-4c35-a424-08137900d520}"/>
        <w:style w:val=""/>
        <w:category>
          <w:name w:val="常规"/>
          <w:gallery w:val="placeholder"/>
        </w:category>
        <w:types>
          <w:type w:val="bbPlcHdr"/>
        </w:types>
        <w:behaviors>
          <w:behavior w:val="content"/>
        </w:behaviors>
        <w:description w:val=""/>
        <w:guid w:val="{c241c932-466d-4c35-a424-08137900d520}"/>
      </w:docPartPr>
      <w:docPartBody>
        <w:p>
          <w:r>
            <w:rPr>
              <w:color w:val="808080"/>
            </w:rPr>
            <w:t>选择一项。</w:t>
          </w:r>
        </w:p>
      </w:docPartBody>
    </w:docPart>
    <w:docPart>
      <w:docPartPr>
        <w:name w:val="{3e207afe-2432-478e-8867-407f166a28cc}"/>
        <w:style w:val=""/>
        <w:category>
          <w:name w:val="常规"/>
          <w:gallery w:val="placeholder"/>
        </w:category>
        <w:types>
          <w:type w:val="bbPlcHdr"/>
        </w:types>
        <w:behaviors>
          <w:behavior w:val="content"/>
        </w:behaviors>
        <w:description w:val=""/>
        <w:guid w:val="{3e207afe-2432-478e-8867-407f166a28cc}"/>
      </w:docPartPr>
      <w:docPartBody>
        <w:p>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10931</Words>
  <Characters>12319</Characters>
  <Lines>202</Lines>
  <Paragraphs>243</Paragraphs>
  <TotalTime>28</TotalTime>
  <ScaleCrop>false</ScaleCrop>
  <LinksUpToDate>false</LinksUpToDate>
  <CharactersWithSpaces>12503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2022-11-08T09:57:00Z</dcterms:created>
  <dc:creator>pgos</dc:creator>
  <cp:lastModifiedBy>王文君</cp:lastModifiedBy>
  <cp:lastPrinted>2023-07-14T02:26:00Z</cp:lastPrinted>
  <dcterms:modified xsi:type="dcterms:W3CDTF">2025-08-21T00:06:36Z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9844280C6D624E9F99FE53DEF4263DEA_13</vt:lpwstr>
  </property>
  <property fmtid="{D5CDD505-2E9C-101B-9397-08002B2CF9AE}" pid="4" name="KSOTemplateDocerSaveRecord">
    <vt:lpwstr>eyJoZGlkIjoiNzliNmRkY2YyN2FjZDQwMDgzZGM4ZDZkNTA3MTFmNGMiLCJ1c2VySWQiOiIxNjE2MTQ1MTM5In0=</vt:lpwstr>
  </property>
</Properties>
</file>