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1A1DC98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项目名称：人粪便16srRNA微生物多样性测序（第二次）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编号：BSRMYY-YNCG-2025-08011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bookmarkStart w:id="7" w:name="_GoBack"/>
      <w:bookmarkEnd w:id="7"/>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54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7"/>
        <w:gridCol w:w="2267"/>
        <w:gridCol w:w="1434"/>
        <w:gridCol w:w="2083"/>
        <w:gridCol w:w="2049"/>
        <w:gridCol w:w="2120"/>
      </w:tblGrid>
      <w:tr w14:paraId="59057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2"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38"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656"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数量（例）</w:t>
            </w:r>
          </w:p>
        </w:tc>
        <w:tc>
          <w:tcPr>
            <w:tcW w:w="953"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938"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c>
          <w:tcPr>
            <w:tcW w:w="970" w:type="pct"/>
            <w:vAlign w:val="center"/>
          </w:tcPr>
          <w:p w14:paraId="4EF685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lang w:eastAsia="zh-CN"/>
              </w:rPr>
              <w:t>服务期限（年）</w:t>
            </w:r>
          </w:p>
        </w:tc>
      </w:tr>
      <w:tr w14:paraId="54F32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3" w:hRule="atLeast"/>
          <w:jc w:val="center"/>
        </w:trPr>
        <w:tc>
          <w:tcPr>
            <w:tcW w:w="442"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038" w:type="pct"/>
            <w:vAlign w:val="center"/>
          </w:tcPr>
          <w:p w14:paraId="0586508B">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人粪便16srRNA微生物多样性测序</w:t>
            </w:r>
          </w:p>
        </w:tc>
        <w:tc>
          <w:tcPr>
            <w:tcW w:w="656" w:type="pct"/>
            <w:vAlign w:val="center"/>
          </w:tcPr>
          <w:p w14:paraId="2F113F89">
            <w:pPr>
              <w:jc w:val="center"/>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500</w:t>
            </w:r>
          </w:p>
        </w:tc>
        <w:tc>
          <w:tcPr>
            <w:tcW w:w="953" w:type="pct"/>
            <w:vAlign w:val="center"/>
          </w:tcPr>
          <w:p w14:paraId="65042AF6">
            <w:pPr>
              <w:jc w:val="center"/>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70</w:t>
            </w:r>
          </w:p>
        </w:tc>
        <w:tc>
          <w:tcPr>
            <w:tcW w:w="938" w:type="pct"/>
            <w:vAlign w:val="center"/>
          </w:tcPr>
          <w:p w14:paraId="3BEB525A">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35000</w:t>
            </w:r>
          </w:p>
        </w:tc>
        <w:tc>
          <w:tcPr>
            <w:tcW w:w="970" w:type="pct"/>
            <w:vAlign w:val="center"/>
          </w:tcPr>
          <w:p w14:paraId="3F235CE6">
            <w:pPr>
              <w:jc w:val="center"/>
              <w:rPr>
                <w:rFonts w:hint="default"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1</w:t>
            </w: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1</w:t>
            </w:r>
          </w:p>
        </w:tc>
        <w:tc>
          <w:tcPr>
            <w:tcW w:w="1094" w:type="pct"/>
            <w:shd w:val="clear" w:color="auto" w:fill="auto"/>
            <w:vAlign w:val="center"/>
          </w:tcPr>
          <w:p w14:paraId="34447689">
            <w:pPr>
              <w:jc w:val="left"/>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人粪便16srRNA微生物多样性测序</w:t>
            </w:r>
          </w:p>
        </w:tc>
        <w:tc>
          <w:tcPr>
            <w:tcW w:w="3527" w:type="pct"/>
            <w:shd w:val="clear" w:color="auto" w:fill="auto"/>
            <w:vAlign w:val="center"/>
          </w:tcPr>
          <w:p w14:paraId="5746FC9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使用合适且公认的DNA提取试剂盒和处理方法提取样本中的DNA</w:t>
            </w:r>
            <w:r>
              <w:rPr>
                <w:rFonts w:hint="eastAsia" w:ascii="方正仿宋_GBK" w:hAnsi="方正仿宋_GBK" w:eastAsia="方正仿宋_GBK" w:cs="方正仿宋_GBK"/>
                <w:b/>
                <w:bCs/>
                <w:kern w:val="2"/>
                <w:sz w:val="28"/>
                <w:szCs w:val="28"/>
                <w:highlight w:val="none"/>
                <w:lang w:val="en-US" w:eastAsia="zh-CN" w:bidi="ar-SA"/>
              </w:rPr>
              <w:t>；</w:t>
            </w:r>
          </w:p>
          <w:p w14:paraId="61ADA8FA">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构建二代测序文库，使用Illumina Nextseq2000仪器进行PE300双端测序</w:t>
            </w:r>
            <w:r>
              <w:rPr>
                <w:rFonts w:hint="eastAsia" w:ascii="方正仿宋_GBK" w:hAnsi="方正仿宋_GBK" w:eastAsia="方正仿宋_GBK" w:cs="方正仿宋_GBK"/>
                <w:b/>
                <w:bCs/>
                <w:kern w:val="2"/>
                <w:sz w:val="28"/>
                <w:szCs w:val="28"/>
                <w:highlight w:val="none"/>
                <w:lang w:val="en-US" w:eastAsia="zh-CN" w:bidi="ar-SA"/>
              </w:rPr>
              <w:t>；</w:t>
            </w:r>
          </w:p>
          <w:p w14:paraId="17640378">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提供物种注释、Alpha多样性、组成、比较、差异等标准分析，针对筛选出来的差异物种进行关联与模型预测、共现性网络及环形系统发生进化树分析等</w:t>
            </w:r>
            <w:r>
              <w:rPr>
                <w:rFonts w:hint="eastAsia" w:ascii="方正仿宋_GBK" w:hAnsi="方正仿宋_GBK" w:eastAsia="方正仿宋_GBK" w:cs="方正仿宋_GBK"/>
                <w:b/>
                <w:bCs/>
                <w:kern w:val="2"/>
                <w:sz w:val="28"/>
                <w:szCs w:val="28"/>
                <w:highlight w:val="none"/>
                <w:lang w:val="en-US" w:eastAsia="zh-CN" w:bidi="ar-SA"/>
              </w:rPr>
              <w:t>；</w:t>
            </w:r>
          </w:p>
          <w:p w14:paraId="737D3F1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提供中性群落模型NCM分析、距离衰减关系分析、Mantel test网络热图、MaAsLin2分析、联合ROC等个性化分析</w:t>
            </w:r>
            <w:r>
              <w:rPr>
                <w:rFonts w:hint="eastAsia" w:ascii="方正仿宋_GBK" w:hAnsi="方正仿宋_GBK" w:eastAsia="方正仿宋_GBK" w:cs="方正仿宋_GBK"/>
                <w:b/>
                <w:bCs/>
                <w:kern w:val="2"/>
                <w:sz w:val="28"/>
                <w:szCs w:val="28"/>
                <w:highlight w:val="none"/>
                <w:lang w:val="en-US" w:eastAsia="zh-CN" w:bidi="ar-SA"/>
              </w:rPr>
              <w:t>；</w:t>
            </w:r>
          </w:p>
          <w:p w14:paraId="52A9531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根据采购人要求提供</w:t>
            </w:r>
            <w:r>
              <w:rPr>
                <w:rFonts w:hint="default"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售后分析</w:t>
            </w:r>
            <w:r>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及调整</w:t>
            </w:r>
            <w:r>
              <w:rPr>
                <w:rFonts w:hint="default"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服务</w:t>
            </w:r>
            <w:r>
              <w:rPr>
                <w:rFonts w:hint="eastAsia" w:ascii="方正仿宋_GBK" w:hAnsi="方正仿宋_GBK" w:eastAsia="方正仿宋_GBK" w:cs="方正仿宋_GBK"/>
                <w:b/>
                <w:bCs/>
                <w:kern w:val="2"/>
                <w:sz w:val="28"/>
                <w:szCs w:val="28"/>
                <w:highlight w:val="none"/>
                <w:lang w:val="en-US" w:eastAsia="zh-CN" w:bidi="ar-SA"/>
              </w:rPr>
              <w:t>（</w:t>
            </w:r>
            <w:r>
              <w:rPr>
                <w:rFonts w:hint="default" w:ascii="方正仿宋_GBK" w:hAnsi="方正仿宋_GBK" w:eastAsia="方正仿宋_GBK" w:cs="方正仿宋_GBK"/>
                <w:b/>
                <w:bCs/>
                <w:kern w:val="2"/>
                <w:sz w:val="28"/>
                <w:szCs w:val="28"/>
                <w:highlight w:val="none"/>
                <w:lang w:val="en-US" w:eastAsia="zh-CN" w:bidi="ar-SA"/>
              </w:rPr>
              <w:t>包括</w:t>
            </w:r>
            <w:r>
              <w:rPr>
                <w:rFonts w:hint="eastAsia" w:ascii="方正仿宋_GBK" w:hAnsi="方正仿宋_GBK" w:eastAsia="方正仿宋_GBK" w:cs="方正仿宋_GBK"/>
                <w:b/>
                <w:bCs/>
                <w:kern w:val="2"/>
                <w:sz w:val="28"/>
                <w:szCs w:val="28"/>
                <w:highlight w:val="none"/>
                <w:lang w:val="en-US" w:eastAsia="zh-CN" w:bidi="ar-SA"/>
              </w:rPr>
              <w:t>数据</w:t>
            </w:r>
            <w:r>
              <w:rPr>
                <w:rFonts w:hint="default" w:ascii="方正仿宋_GBK" w:hAnsi="方正仿宋_GBK" w:eastAsia="方正仿宋_GBK" w:cs="方正仿宋_GBK"/>
                <w:b/>
                <w:bCs/>
                <w:kern w:val="2"/>
                <w:sz w:val="28"/>
                <w:szCs w:val="28"/>
                <w:highlight w:val="none"/>
                <w:lang w:val="en-US" w:eastAsia="zh-CN" w:bidi="ar-SA"/>
              </w:rPr>
              <w:t>分析</w:t>
            </w:r>
            <w:r>
              <w:rPr>
                <w:rFonts w:hint="eastAsia" w:ascii="方正仿宋_GBK" w:hAnsi="方正仿宋_GBK" w:eastAsia="方正仿宋_GBK" w:cs="方正仿宋_GBK"/>
                <w:b/>
                <w:bCs/>
                <w:kern w:val="2"/>
                <w:sz w:val="28"/>
                <w:szCs w:val="28"/>
                <w:highlight w:val="none"/>
                <w:lang w:val="en-US" w:eastAsia="zh-CN" w:bidi="ar-SA"/>
              </w:rPr>
              <w:t>调整、数据个性化分析、</w:t>
            </w:r>
            <w:r>
              <w:rPr>
                <w:rFonts w:hint="default" w:ascii="方正仿宋_GBK" w:hAnsi="方正仿宋_GBK" w:eastAsia="方正仿宋_GBK" w:cs="方正仿宋_GBK"/>
                <w:b/>
                <w:bCs/>
                <w:kern w:val="2"/>
                <w:sz w:val="28"/>
                <w:szCs w:val="28"/>
                <w:highlight w:val="none"/>
                <w:lang w:val="en-US" w:eastAsia="zh-CN" w:bidi="ar-SA"/>
              </w:rPr>
              <w:t>结果呈图方式和配色的调整</w:t>
            </w:r>
            <w:r>
              <w:rPr>
                <w:rFonts w:hint="eastAsia" w:ascii="方正仿宋_GBK" w:hAnsi="方正仿宋_GBK" w:eastAsia="方正仿宋_GBK" w:cs="方正仿宋_GBK"/>
                <w:b/>
                <w:bCs/>
                <w:kern w:val="2"/>
                <w:sz w:val="28"/>
                <w:szCs w:val="28"/>
                <w:highlight w:val="none"/>
                <w:lang w:val="en-US" w:eastAsia="zh-CN" w:bidi="ar-SA"/>
              </w:rPr>
              <w:t>等）。</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7FFD4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1、提供2024年至今1份类似项目的合同和发票/验收记录；</w:t>
      </w:r>
    </w:p>
    <w:p w14:paraId="06ECC69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2、提供完成本项目所需的人员、实验室相关资质、配套设备、耗材的合格证、注册证或备案证（如没有可提供出厂质检报告）等；</w:t>
      </w:r>
    </w:p>
    <w:p w14:paraId="454FE2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2AE848A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本项目最高限价35000元。报价要求：本次报价采用总价进行报价，包含但不限于项目服务费（包括微生物多样性的DNA提取、质检、建库、测序及数据分析、</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售后分析及调整等</w:t>
      </w:r>
      <w:r>
        <w:rPr>
          <w:rFonts w:hint="eastAsia" w:ascii="方正仿宋_GBK" w:hAnsi="方正仿宋_GBK" w:eastAsia="方正仿宋_GBK" w:cs="方正仿宋_GBK"/>
          <w:b w:val="0"/>
          <w:bCs w:val="0"/>
          <w:color w:val="auto"/>
          <w:kern w:val="0"/>
          <w:sz w:val="32"/>
          <w:szCs w:val="32"/>
          <w:highlight w:val="none"/>
          <w:lang w:val="en-US" w:eastAsia="zh-CN"/>
        </w:rPr>
        <w:t>）、配套设备辅材费、样本运输费（包括干冰费、快递费等）、生物安全管理费、资料装订及邮寄费、税费、保险费、数据保密费、验收检测费等完成本项目所需的一切费用。因成交供应商自身原因造成漏报、少报皆由其自行承担责任，采购人不再补偿。供应商报送总价不得超过采购人要求，否则视为无效报价。服务期间发生的安全责任事故由供应商自行承担。</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本项目合同期1年，成交供应商在接到成交通知后20日内与采购人签订采购合同和廉政购销协议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6A5770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本项目要求供应商</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自</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中选后，按采购人通知后2天内取走样本，完成检测后将样本返还采购人（样本运输应符合《中华人民共和国生物安全法》相关要求），2个月通过线上方式完成数据交付（包括实验方法学、测序结果、分析结果等），最长1年时间完成本项目要求的所有服务内容。</w:t>
      </w:r>
    </w:p>
    <w:p w14:paraId="28F37EF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服务期满进行验收，按照采购招投标文件及服务效果考核要求逐项验收，</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4B24AFDC">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服务效果考核标准</w:t>
      </w:r>
    </w:p>
    <w:p w14:paraId="17DDA5D3">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提供检测结果和完整的实验方法学</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w:t>
      </w:r>
    </w:p>
    <w:p w14:paraId="1C6F3E81">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Chars="0" w:firstLine="640" w:firstLineChars="200"/>
        <w:textAlignment w:val="auto"/>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平均检测数据量50000 cleanreads，单样本检测数据量不低于40000 cleanreads，Q30&gt;90%</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4D4BD2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b/>
          <w:bCs/>
          <w:color w:val="FF0000"/>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（4）培训要求：取样前安排技术人员对样本取样进行培训，</w:t>
      </w:r>
      <w:r>
        <w:rPr>
          <w:rFonts w:hint="eastAsia" w:ascii="方正仿宋_GBK" w:hAnsi="方正仿宋_GBK" w:eastAsia="方正仿宋_GBK" w:cs="方正仿宋_GBK"/>
          <w:b w:val="0"/>
          <w:bCs w:val="0"/>
          <w:color w:val="000000" w:themeColor="text1"/>
          <w:kern w:val="2"/>
          <w:sz w:val="32"/>
          <w:szCs w:val="32"/>
          <w:highlight w:val="none"/>
          <w:lang w:val="en-US" w:eastAsia="zh-CN" w:bidi="zh-CN"/>
          <w14:textFill>
            <w14:solidFill>
              <w14:schemeClr w14:val="tx1"/>
            </w14:solidFill>
          </w14:textFill>
        </w:rPr>
        <w:t>实验结束后安排技术人员按照采购人要求对数据结果分析进行培训指导。</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供应商未按采购人要求时限交付服务内容，每延迟1日，供应商应向采购人支付合同总金额千分之一的违约金，超过10日未能交付，采购人有权单方面解除合同，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并要求供应商承担合同总金额30%的违约金</w:t>
      </w:r>
      <w:r>
        <w:rPr>
          <w:rFonts w:hint="eastAsia" w:ascii="方正仿宋_GBK" w:hAnsi="方正仿宋_GBK" w:eastAsia="方正仿宋_GBK" w:cs="方正仿宋_GBK"/>
          <w:color w:val="auto"/>
          <w:sz w:val="32"/>
          <w:szCs w:val="32"/>
          <w:highlight w:val="none"/>
          <w:lang w:val="en-US" w:eastAsia="zh-CN"/>
        </w:rPr>
        <w:t>；项目验收不合格或使用中发现服务质量缺陷，采购人有权要求供应商整改，整改期限为5日，整改期限届满仍未完成的供应商每日支付合同总金额千分之三的违约金，超过10日未能完成整改，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采购人有权解除合同，并要求供应商承担合同总金额30%的违约金，已经付款的供应商应全款退还采购人已经支付的款项</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或</w:t>
      </w:r>
      <w:r>
        <w:rPr>
          <w:rFonts w:hint="eastAsia" w:ascii="方正仿宋_GBK" w:hAnsi="方正仿宋_GBK" w:eastAsia="方正仿宋_GBK" w:cs="方正仿宋_GBK"/>
          <w:b w:val="0"/>
          <w:bCs w:val="0"/>
          <w:color w:val="auto"/>
          <w:kern w:val="0"/>
          <w:sz w:val="32"/>
          <w:szCs w:val="32"/>
          <w:highlight w:val="none"/>
          <w:lang w:val="en-US" w:eastAsia="zh-CN"/>
        </w:rPr>
        <w:t>合同周期内供应商出现2次及以上违约行为的</w:t>
      </w:r>
      <w:r>
        <w:rPr>
          <w:rFonts w:hint="eastAsia" w:ascii="方正仿宋_GBK" w:hAnsi="方正仿宋_GBK" w:eastAsia="方正仿宋_GBK" w:cs="方正仿宋_GBK"/>
          <w:color w:val="auto"/>
          <w:kern w:val="0"/>
          <w:sz w:val="32"/>
          <w:szCs w:val="32"/>
          <w:highlight w:val="none"/>
          <w:lang w:val="en-US" w:eastAsia="zh-CN"/>
        </w:rPr>
        <w:t>;⑦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7DA5D9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因供应商及其提供的服务原因引发纠纷、造成</w:t>
      </w:r>
      <w:r>
        <w:rPr>
          <w:rFonts w:hint="eastAsia" w:ascii="方正仿宋_GBK" w:hAnsi="方正仿宋_GBK" w:eastAsia="方正仿宋_GBK" w:cs="方正仿宋_GBK"/>
          <w:color w:val="auto"/>
          <w:sz w:val="32"/>
          <w:szCs w:val="32"/>
          <w:highlight w:val="none"/>
          <w:lang w:val="en-US" w:eastAsia="zh-CN"/>
        </w:rPr>
        <w:t xml:space="preserve">采购人损失、受到处罚的（如供应商拒绝履约、在提供服务过程中损害采购人利益、供应商违纪违法行为、供应商检测内容虚假、数据分析错误等情况），供应商应赔偿对采购人造成的直接和间接损失全额损失及承担相应法律责任。合同履行期间发生争议，协商无果由重庆市璧山区人民法院裁决。 </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（十）合同终止情形</w:t>
      </w:r>
    </w:p>
    <w:p w14:paraId="2EDACF8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出现不良事件；数据交付超期10天；合同周期内供应商出现2次及以上违约行为；供应商廉洁违纪行为；供应商主动放弃等。</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12.项目服务方案（应具体到样本接收运输管理、检测进度计划、项目阶段性沟通、人员设备安排、保密措施等）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A8DE28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1、提供2024年至今1份类似项目的合同和发票/验收记录；</w:t>
      </w:r>
    </w:p>
    <w:p w14:paraId="0B289CF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2、提供完成本项目所需的人员、实验室相关资质、配套设备、耗材的合格证、注册证或备案证（如没有可提供出厂质检报告）等；</w:t>
      </w:r>
    </w:p>
    <w:p w14:paraId="0920AB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5AB5AAF7">
      <w:pPr>
        <w:ind w:firstLine="843" w:firstLineChars="300"/>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237057793"/>
      <w:bookmarkStart w:id="1" w:name="_Toc156196472"/>
      <w:bookmarkStart w:id="2" w:name="_Toc128229304"/>
      <w:bookmarkStart w:id="3" w:name="_Toc175017344"/>
      <w:bookmarkStart w:id="4" w:name="_Toc173677399"/>
      <w:bookmarkStart w:id="5" w:name="_Toc128014297"/>
      <w:bookmarkStart w:id="6" w:name="_Toc128229747"/>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8"/>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8"/>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w:t>
      </w:r>
      <w:r>
        <w:rPr>
          <w:rFonts w:hint="eastAsia" w:ascii="仿宋_GB2312" w:eastAsia="仿宋_GB2312" w:cs="宋体"/>
          <w:kern w:val="2"/>
          <w:sz w:val="32"/>
          <w:szCs w:val="32"/>
          <w:highlight w:val="none"/>
          <w:lang w:val="en-US" w:eastAsia="zh-CN" w:bidi="ar-SA"/>
        </w:rPr>
        <w:t>样</w:t>
      </w:r>
      <w:r>
        <w:rPr>
          <w:rFonts w:hint="eastAsia" w:ascii="仿宋_GB2312" w:hAnsi="宋体" w:eastAsia="仿宋_GB2312" w:cs="宋体"/>
          <w:kern w:val="2"/>
          <w:sz w:val="32"/>
          <w:szCs w:val="32"/>
          <w:highlight w:val="none"/>
          <w:lang w:val="en-US" w:eastAsia="zh-CN" w:bidi="ar-SA"/>
        </w:rPr>
        <w:t>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22E0686"/>
    <w:multiLevelType w:val="singleLevel"/>
    <w:tmpl w:val="222E0686"/>
    <w:lvl w:ilvl="0" w:tentative="0">
      <w:start w:val="1"/>
      <w:numFmt w:val="decimal"/>
      <w:suff w:val="nothing"/>
      <w:lvlText w:val="（%1）"/>
      <w:lvlJc w:val="left"/>
    </w:lvl>
  </w:abstractNum>
  <w:abstractNum w:abstractNumId="3">
    <w:nsid w:val="225B1DC8"/>
    <w:multiLevelType w:val="singleLevel"/>
    <w:tmpl w:val="225B1DC8"/>
    <w:lvl w:ilvl="0" w:tentative="0">
      <w:start w:val="1"/>
      <w:numFmt w:val="decimal"/>
      <w:lvlText w:val="%1."/>
      <w:lvlJc w:val="left"/>
      <w:pPr>
        <w:tabs>
          <w:tab w:val="left" w:pos="312"/>
        </w:tabs>
      </w:p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93E016B"/>
    <w:multiLevelType w:val="singleLevel"/>
    <w:tmpl w:val="593E016B"/>
    <w:lvl w:ilvl="0" w:tentative="0">
      <w:start w:val="1"/>
      <w:numFmt w:val="chineseCounting"/>
      <w:suff w:val="nothing"/>
      <w:lvlText w:val="%1、"/>
      <w:lvlJc w:val="left"/>
      <w:rPr>
        <w:rFonts w:hint="eastAsia"/>
      </w:rPr>
    </w:lvl>
  </w:abstractNum>
  <w:abstractNum w:abstractNumId="6">
    <w:nsid w:val="5A36E599"/>
    <w:multiLevelType w:val="singleLevel"/>
    <w:tmpl w:val="5A36E599"/>
    <w:lvl w:ilvl="0" w:tentative="0">
      <w:start w:val="6"/>
      <w:numFmt w:val="chineseCounting"/>
      <w:suff w:val="nothing"/>
      <w:lvlText w:val="（%1）"/>
      <w:lvlJc w:val="left"/>
      <w:rPr>
        <w:rFonts w:hint="eastAsia"/>
      </w:rPr>
    </w:lvl>
  </w:abstractNum>
  <w:abstractNum w:abstractNumId="7">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7"/>
  </w:num>
  <w:num w:numId="3">
    <w:abstractNumId w:val="5"/>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02976FE"/>
    <w:rsid w:val="015B6D6E"/>
    <w:rsid w:val="02E501FA"/>
    <w:rsid w:val="03CE68FB"/>
    <w:rsid w:val="041961A8"/>
    <w:rsid w:val="04C70F47"/>
    <w:rsid w:val="056E5276"/>
    <w:rsid w:val="06FB539B"/>
    <w:rsid w:val="074B78AB"/>
    <w:rsid w:val="07F82B6D"/>
    <w:rsid w:val="09604328"/>
    <w:rsid w:val="0A86348F"/>
    <w:rsid w:val="0BCE4B39"/>
    <w:rsid w:val="0C872834"/>
    <w:rsid w:val="0C974041"/>
    <w:rsid w:val="0CB1115F"/>
    <w:rsid w:val="0CE64C8D"/>
    <w:rsid w:val="0D5C636E"/>
    <w:rsid w:val="0DC70935"/>
    <w:rsid w:val="0E440BB0"/>
    <w:rsid w:val="0E6637FD"/>
    <w:rsid w:val="0E6753E5"/>
    <w:rsid w:val="0E9F1F75"/>
    <w:rsid w:val="0F3D73C4"/>
    <w:rsid w:val="0FAB7A71"/>
    <w:rsid w:val="0FD01451"/>
    <w:rsid w:val="10945E1E"/>
    <w:rsid w:val="109A11ED"/>
    <w:rsid w:val="11594F0F"/>
    <w:rsid w:val="122D0B62"/>
    <w:rsid w:val="133D5E0A"/>
    <w:rsid w:val="17772668"/>
    <w:rsid w:val="1922346A"/>
    <w:rsid w:val="19375EE1"/>
    <w:rsid w:val="19FC6B1C"/>
    <w:rsid w:val="1A1C7FE3"/>
    <w:rsid w:val="1AAE2C67"/>
    <w:rsid w:val="1AF86BE0"/>
    <w:rsid w:val="1B3306B6"/>
    <w:rsid w:val="1BDE0896"/>
    <w:rsid w:val="1CF00EFC"/>
    <w:rsid w:val="1E552F6B"/>
    <w:rsid w:val="1F1979A7"/>
    <w:rsid w:val="1F2F00AB"/>
    <w:rsid w:val="20746E51"/>
    <w:rsid w:val="21426D4A"/>
    <w:rsid w:val="229A0B71"/>
    <w:rsid w:val="22F03C5B"/>
    <w:rsid w:val="236757CC"/>
    <w:rsid w:val="23FB11F4"/>
    <w:rsid w:val="24D32F62"/>
    <w:rsid w:val="26541E80"/>
    <w:rsid w:val="28687E65"/>
    <w:rsid w:val="29AE2A56"/>
    <w:rsid w:val="29F1586C"/>
    <w:rsid w:val="29FA37EC"/>
    <w:rsid w:val="2A402D6D"/>
    <w:rsid w:val="2C3529EE"/>
    <w:rsid w:val="2CC37769"/>
    <w:rsid w:val="2F2F3117"/>
    <w:rsid w:val="2FC44243"/>
    <w:rsid w:val="304F44CB"/>
    <w:rsid w:val="31092EA8"/>
    <w:rsid w:val="32214672"/>
    <w:rsid w:val="33FB61AD"/>
    <w:rsid w:val="342C6BC9"/>
    <w:rsid w:val="35761799"/>
    <w:rsid w:val="357C2FC3"/>
    <w:rsid w:val="376E6279"/>
    <w:rsid w:val="38A14340"/>
    <w:rsid w:val="396A2364"/>
    <w:rsid w:val="3A2C5456"/>
    <w:rsid w:val="3A8A6AFB"/>
    <w:rsid w:val="3B5B7766"/>
    <w:rsid w:val="3D8263F7"/>
    <w:rsid w:val="3E9F6BB4"/>
    <w:rsid w:val="40611EDD"/>
    <w:rsid w:val="439873F8"/>
    <w:rsid w:val="442069E9"/>
    <w:rsid w:val="44C5770F"/>
    <w:rsid w:val="44EF71C4"/>
    <w:rsid w:val="45170BAD"/>
    <w:rsid w:val="45EF05E5"/>
    <w:rsid w:val="473F7C96"/>
    <w:rsid w:val="475D7492"/>
    <w:rsid w:val="482D6FF9"/>
    <w:rsid w:val="49470D20"/>
    <w:rsid w:val="496140CE"/>
    <w:rsid w:val="4AA416B0"/>
    <w:rsid w:val="4AE139DB"/>
    <w:rsid w:val="4B782C5C"/>
    <w:rsid w:val="4BDB0A24"/>
    <w:rsid w:val="4C31315D"/>
    <w:rsid w:val="4DFC1C81"/>
    <w:rsid w:val="4E3B1140"/>
    <w:rsid w:val="4F6D75ED"/>
    <w:rsid w:val="51352B6B"/>
    <w:rsid w:val="51736DAF"/>
    <w:rsid w:val="53A17F68"/>
    <w:rsid w:val="53DB6C22"/>
    <w:rsid w:val="55085A60"/>
    <w:rsid w:val="569966B6"/>
    <w:rsid w:val="57744314"/>
    <w:rsid w:val="59A815C0"/>
    <w:rsid w:val="5BD41136"/>
    <w:rsid w:val="5DBD061A"/>
    <w:rsid w:val="5E932E93"/>
    <w:rsid w:val="5F571DF3"/>
    <w:rsid w:val="5FA4498B"/>
    <w:rsid w:val="61130716"/>
    <w:rsid w:val="61143219"/>
    <w:rsid w:val="6138591F"/>
    <w:rsid w:val="61707CCC"/>
    <w:rsid w:val="61A6052D"/>
    <w:rsid w:val="626B6216"/>
    <w:rsid w:val="637666C3"/>
    <w:rsid w:val="63814C5E"/>
    <w:rsid w:val="649966D5"/>
    <w:rsid w:val="64B2548C"/>
    <w:rsid w:val="67CF5844"/>
    <w:rsid w:val="69D01878"/>
    <w:rsid w:val="6A1F4430"/>
    <w:rsid w:val="6B247663"/>
    <w:rsid w:val="6C4258A4"/>
    <w:rsid w:val="6D1F523E"/>
    <w:rsid w:val="6D38732A"/>
    <w:rsid w:val="6DD05A39"/>
    <w:rsid w:val="6EC6360F"/>
    <w:rsid w:val="6F9A2F0D"/>
    <w:rsid w:val="6FB940CF"/>
    <w:rsid w:val="70237F96"/>
    <w:rsid w:val="713118C3"/>
    <w:rsid w:val="71C02C3F"/>
    <w:rsid w:val="72BB5C94"/>
    <w:rsid w:val="732B3BA9"/>
    <w:rsid w:val="736D62DF"/>
    <w:rsid w:val="73C21B9F"/>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6837</Words>
  <Characters>7125</Characters>
  <Lines>0</Lines>
  <Paragraphs>0</Paragraphs>
  <TotalTime>2</TotalTime>
  <ScaleCrop>false</ScaleCrop>
  <LinksUpToDate>false</LinksUpToDate>
  <CharactersWithSpaces>7802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2025-09-01T06:37:19Z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