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</w:pPr>
      <w:r>
        <w:rPr>
          <w:rFonts w:ascii="方正小标宋_GBK" w:hAnsi="方正小标宋_GBK" w:eastAsia="方正小标宋_GBK" w:cs="方正小标宋_GBK"/>
          <w:sz w:val="43"/>
          <w:szCs w:val="43"/>
        </w:rPr>
        <w:t>科室产品需求登记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882"/>
        <w:gridCol w:w="1774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4105" w:type="pct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行政办公室、审计科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登记人</w:t>
            </w:r>
          </w:p>
        </w:tc>
        <w:tc>
          <w:tcPr>
            <w:tcW w:w="148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黄韵清</w:t>
            </w:r>
          </w:p>
        </w:tc>
        <w:tc>
          <w:tcPr>
            <w:tcW w:w="916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170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2026年3月16日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105" w:type="pct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重庆市璧山区人民医院内部控制建设服务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用途</w:t>
            </w:r>
          </w:p>
        </w:tc>
        <w:tc>
          <w:tcPr>
            <w:tcW w:w="4105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440" w:lineRule="exac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6"/>
                <w:szCs w:val="26"/>
                <w:highlight w:val="none"/>
                <w:vertAlign w:val="baseline"/>
              </w:rPr>
            </w:pPr>
            <w:r>
              <w:rPr>
                <w:rFonts w:hint="eastAsia"/>
                <w:spacing w:val="-6"/>
                <w:sz w:val="26"/>
                <w:szCs w:val="26"/>
                <w:highlight w:val="none"/>
              </w:rPr>
              <w:t>建立覆盖全院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  <w:lang w:val="en-US" w:eastAsia="zh-CN"/>
              </w:rPr>
              <w:t>各项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</w:rPr>
              <w:t>经济活动与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  <w:lang w:val="en-US" w:eastAsia="zh-CN"/>
              </w:rPr>
              <w:t>相关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</w:rPr>
              <w:t>业务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  <w:lang w:val="en-US" w:eastAsia="zh-CN"/>
              </w:rPr>
              <w:t>活动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</w:rPr>
              <w:t>的内部控制体系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  <w:lang w:eastAsia="zh-CN"/>
              </w:rPr>
              <w:t>，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  <w:lang w:val="en-US" w:eastAsia="zh-CN"/>
              </w:rPr>
              <w:t>构建内外协同、衔接高效、运转有序的内部控制工作机制。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</w:rPr>
              <w:t>通过制度梳理、风险评估与流程再造，确保医院运营合规、廉政安全、管理高效，满足国家及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  <w:lang w:val="en-US" w:eastAsia="zh-CN"/>
              </w:rPr>
              <w:t>地方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</w:rPr>
              <w:t>财政、卫健、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  <w:lang w:val="en-US" w:eastAsia="zh-CN"/>
              </w:rPr>
              <w:t>医保、</w:t>
            </w:r>
            <w:r>
              <w:rPr>
                <w:rFonts w:hint="eastAsia"/>
                <w:spacing w:val="-6"/>
                <w:sz w:val="26"/>
                <w:szCs w:val="26"/>
                <w:highlight w:val="none"/>
              </w:rPr>
              <w:t>审计部门的监管要求。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需求功能</w:t>
            </w:r>
          </w:p>
        </w:tc>
        <w:tc>
          <w:tcPr>
            <w:tcW w:w="4105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一、服务范围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</w:rPr>
              <w:t>全域风险评估：完成单位层面与</w:t>
            </w:r>
            <w:r>
              <w:rPr>
                <w:rFonts w:hint="eastAsia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u w:val="none"/>
              </w:rPr>
              <w:t>预算、收支、采购、资产、基建、合同、医保基金等</w:t>
            </w:r>
            <w:r>
              <w:rPr>
                <w:rFonts w:hint="eastAsia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12个</w:t>
            </w:r>
            <w:r>
              <w:rPr>
                <w:rFonts w:hint="eastAsia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u w:val="none"/>
              </w:rPr>
              <w:t>业务层面的全面风险排查，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</w:rPr>
              <w:t>输出风险清单与评估报告。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</w:rPr>
              <w:t>制度体系建设：修订完善内控制度，绘制标准流程图，建立管理手册，实现决策科学、制衡有效、执行可控。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</w:rPr>
              <w:t>评价与整改：开展内控有效性评价，认定缺陷等级，制定并跟踪整改闭环，确保通过各级检查与审计。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</w:rPr>
              <w:t>落地培训辅导：组织全院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</w:rPr>
              <w:t>层骨干培训不少于4场，进行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职能</w:t>
            </w:r>
            <w:r>
              <w:rPr>
                <w:rFonts w:hint="eastAsia"/>
                <w:spacing w:val="-6"/>
                <w:sz w:val="24"/>
                <w:szCs w:val="24"/>
                <w:highlight w:val="none"/>
              </w:rPr>
              <w:t>科室一对一流程辅导，确保知识转移，保障长效运行。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spacing w:val="-6"/>
                <w:sz w:val="26"/>
                <w:szCs w:val="26"/>
              </w:rPr>
              <w:t>所有成果需通过医院及上级主管部门审核，制度流程具备实操性，监督机制可追溯，确保顺利通过年度内控评价及各类专项检查。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6.交付成果：交付包含但不限于：《风险评估报告》《内部控制管理手册》《内控评价与整改报告》、制度汇编、流程图集、标准表单库及完整培训档案。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二、团队要求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由注册会计师或资深内控专家牵头，配备医疗运营、财务、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eastAsia"/>
                <w:sz w:val="24"/>
                <w:szCs w:val="24"/>
              </w:rPr>
              <w:t>等专业人员驻场服务。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三、工期要求：</w:t>
            </w:r>
            <w:r>
              <w:rPr>
                <w:rFonts w:hint="eastAsia"/>
                <w:sz w:val="24"/>
                <w:szCs w:val="24"/>
              </w:rPr>
              <w:t>总工期约6个月，质保期1-3年，提供政策更新与终身技术支持。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4105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6"/>
                <w:szCs w:val="2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"/>
          <w:szCs w:val="2"/>
        </w:rPr>
      </w:pPr>
    </w:p>
    <w:sectPr>
      <w:pgSz w:w="11906" w:h="16838"/>
      <w:pgMar w:top="1474" w:right="1191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24103"/>
    <w:rsid w:val="051A2DBD"/>
    <w:rsid w:val="119403CF"/>
    <w:rsid w:val="16995FBA"/>
    <w:rsid w:val="266C5BF6"/>
    <w:rsid w:val="27ED2213"/>
    <w:rsid w:val="357C6601"/>
    <w:rsid w:val="40C600B7"/>
    <w:rsid w:val="42B24103"/>
    <w:rsid w:val="5BC2015B"/>
    <w:rsid w:val="6C2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2023-09-13T02:06:00Z</dcterms:created>
  <dc:creator>cccc.</dc:creator>
  <cp:lastModifiedBy>黄韵清</cp:lastModifiedBy>
  <cp:lastPrinted>2026-03-13T01:32:00Z</cp:lastPrinted>
  <dcterms:modified xsi:type="dcterms:W3CDTF">2026-03-17T02:44:53Z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05DF1F857F1F43B59B8CA0ED260F41AD</vt:lpwstr>
  </property>
</Properties>
</file>