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α-、β-地中海贫血基因检测试剂盒（PCR+导流杂交法）等耗材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1"/>
        <w:gridCol w:w="895"/>
        <w:gridCol w:w="1350"/>
        <w:gridCol w:w="975"/>
        <w:gridCol w:w="2169"/>
        <w:gridCol w:w="2359"/>
        <w:gridCol w:w="826"/>
        <w:gridCol w:w="9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41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9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6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35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44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9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α-、β-地中海贫血基因检测试剂盒（PCR+导流杂交法）</w:t>
            </w:r>
          </w:p>
        </w:tc>
        <w:tc>
          <w:tcPr>
            <w:tcW w:w="97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30人份/盒</w:t>
            </w:r>
          </w:p>
        </w:tc>
        <w:tc>
          <w:tcPr>
            <w:tcW w:w="216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本产品用于体外定性检测人抗凝静脉血样本中3种缺失型α-地贫（--sea、-α3.7和-α4.2）、3种突变型α-地贫（CS、QS、WS)及17个位点的19种突变型β-地贫。</w:t>
            </w:r>
          </w:p>
        </w:tc>
        <w:tc>
          <w:tcPr>
            <w:tcW w:w="2359"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PCR试剂盒：PCR混合液、DNA聚合酶、阴性对照；杂交试剂盒：杂交液、洗脱液1、封阻液、酶标液、溶液A、杂交膜、显色液。</w:t>
            </w:r>
          </w:p>
        </w:tc>
        <w:tc>
          <w:tcPr>
            <w:tcW w:w="8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30盒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3300元/盒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适配凯普HBHM-3001S自动核酸分子杂交仪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7" w:hRule="atLeast"/>
        </w:trPr>
        <w:tc>
          <w:tcPr>
            <w:tcW w:w="4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pPr>
              <w:keepNext w:val="0"/>
              <w:keepLines w:val="0"/>
              <w:widowControl/>
              <w:suppressLineNumbers w:val="0"/>
              <w:jc w:val="left"/>
              <w:textAlignment w:val="center"/>
              <w:rPr>
                <w:rFonts w:hint="eastAsia"/>
              </w:rPr>
            </w:pPr>
            <w:r>
              <w:rPr>
                <w:rFonts w:hint="eastAsia"/>
              </w:rPr>
              <w:t>遗传性耳聋基因检测试剂盒（PCR+导流杂交法）</w:t>
            </w:r>
          </w:p>
        </w:tc>
        <w:tc>
          <w:tcPr>
            <w:tcW w:w="975" w:type="dxa"/>
            <w:shd w:val="clear" w:color="auto" w:fill="auto"/>
            <w:vAlign w:val="center"/>
          </w:tcPr>
          <w:p>
            <w:pPr>
              <w:keepNext w:val="0"/>
              <w:keepLines w:val="0"/>
              <w:widowControl/>
              <w:suppressLineNumbers w:val="0"/>
              <w:jc w:val="left"/>
              <w:textAlignment w:val="center"/>
              <w:rPr>
                <w:rFonts w:hint="eastAsia"/>
              </w:rPr>
            </w:pPr>
            <w:r>
              <w:rPr>
                <w:rFonts w:hint="eastAsia"/>
              </w:rPr>
              <w:t>30人份/盒</w:t>
            </w:r>
          </w:p>
        </w:tc>
        <w:tc>
          <w:tcPr>
            <w:tcW w:w="2169" w:type="dxa"/>
            <w:shd w:val="clear" w:color="auto" w:fill="auto"/>
            <w:vAlign w:val="center"/>
          </w:tcPr>
          <w:p>
            <w:pPr>
              <w:keepNext w:val="0"/>
              <w:keepLines w:val="0"/>
              <w:widowControl/>
              <w:suppressLineNumbers w:val="0"/>
              <w:jc w:val="left"/>
              <w:textAlignment w:val="center"/>
              <w:rPr>
                <w:rFonts w:hint="eastAsia"/>
              </w:rPr>
            </w:pPr>
            <w:r>
              <w:rPr>
                <w:rFonts w:hint="eastAsia"/>
              </w:rPr>
              <w:t>本产品用于体外定性检测人外周静脉全血基因组DNA中4个耳聋相关基因中20种突变类型。</w:t>
            </w:r>
          </w:p>
        </w:tc>
        <w:tc>
          <w:tcPr>
            <w:tcW w:w="2359" w:type="dxa"/>
            <w:shd w:val="clear" w:color="auto" w:fill="auto"/>
            <w:vAlign w:val="center"/>
          </w:tcPr>
          <w:p>
            <w:pPr>
              <w:keepNext w:val="0"/>
              <w:keepLines w:val="0"/>
              <w:widowControl/>
              <w:suppressLineNumbers w:val="0"/>
              <w:jc w:val="left"/>
              <w:textAlignment w:val="center"/>
              <w:rPr>
                <w:rFonts w:hint="eastAsia"/>
              </w:rPr>
            </w:pPr>
            <w:r>
              <w:rPr>
                <w:rFonts w:hint="eastAsia"/>
              </w:rPr>
              <w:t>PCR试剂盒：A组PCR混合液、B组PCR混合液、DNA聚合酶、空白对照；杂交试剂盒：杂交液、洗脱液1、封阻液、酶标液、溶液A、杂交膜、显色液。</w:t>
            </w:r>
          </w:p>
        </w:tc>
        <w:tc>
          <w:tcPr>
            <w:tcW w:w="826"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1盒</w:t>
            </w:r>
          </w:p>
        </w:tc>
        <w:tc>
          <w:tcPr>
            <w:tcW w:w="94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28800元/盒</w:t>
            </w:r>
          </w:p>
        </w:tc>
        <w:tc>
          <w:tcPr>
            <w:tcW w:w="144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适配凯普HBHM-3001S自动核酸分子杂交仪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9931"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444"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278"/>
      <w:bookmarkStart w:id="2" w:name="_Toc237057789"/>
      <w:bookmarkStart w:id="3" w:name="_Toc128229721"/>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75017342"/>
      <w:bookmarkStart w:id="7" w:name="_Toc128229745"/>
      <w:bookmarkStart w:id="8" w:name="_Toc173677397"/>
      <w:bookmarkStart w:id="9" w:name="_Toc156196559"/>
      <w:bookmarkStart w:id="10" w:name="_Toc128229916"/>
      <w:bookmarkStart w:id="11" w:name="_Toc156815770"/>
      <w:bookmarkStart w:id="12" w:name="_Toc166139912"/>
      <w:bookmarkStart w:id="13" w:name="_Toc166549448"/>
      <w:bookmarkStart w:id="14" w:name="_Toc15673045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56196560"/>
      <w:bookmarkStart w:id="18" w:name="_Toc128229746"/>
      <w:bookmarkStart w:id="19" w:name="_Toc128229917"/>
      <w:bookmarkStart w:id="20" w:name="_Toc156196471"/>
      <w:bookmarkStart w:id="21" w:name="_Toc156730451"/>
      <w:bookmarkStart w:id="22" w:name="_Toc166139913"/>
      <w:bookmarkStart w:id="23" w:name="_Toc173677398"/>
      <w:bookmarkStart w:id="24" w:name="_Toc166549449"/>
      <w:bookmarkStart w:id="25" w:name="_Toc175017343"/>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237057793"/>
      <w:bookmarkStart w:id="29" w:name="_Toc156196472"/>
      <w:bookmarkStart w:id="30" w:name="_Toc128014297"/>
      <w:bookmarkStart w:id="31" w:name="_Toc175017344"/>
      <w:bookmarkStart w:id="32" w:name="_Toc128229747"/>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ED75DB"/>
    <w:rsid w:val="00F57EB8"/>
    <w:rsid w:val="00F61DFC"/>
    <w:rsid w:val="01912D5A"/>
    <w:rsid w:val="019449A9"/>
    <w:rsid w:val="01F43647"/>
    <w:rsid w:val="01FC2334"/>
    <w:rsid w:val="03177D0D"/>
    <w:rsid w:val="03214205"/>
    <w:rsid w:val="038E466A"/>
    <w:rsid w:val="03D451A1"/>
    <w:rsid w:val="04314362"/>
    <w:rsid w:val="045301F6"/>
    <w:rsid w:val="045A10E2"/>
    <w:rsid w:val="054A568F"/>
    <w:rsid w:val="05A1651B"/>
    <w:rsid w:val="07043A2A"/>
    <w:rsid w:val="074C0B6A"/>
    <w:rsid w:val="078057A6"/>
    <w:rsid w:val="07BF7925"/>
    <w:rsid w:val="08183C31"/>
    <w:rsid w:val="08305016"/>
    <w:rsid w:val="0A0126EF"/>
    <w:rsid w:val="0A2C7BD0"/>
    <w:rsid w:val="0AEF7612"/>
    <w:rsid w:val="0B281E05"/>
    <w:rsid w:val="0B2964A2"/>
    <w:rsid w:val="0B982A6A"/>
    <w:rsid w:val="0BF434C5"/>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B34C26"/>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8D7104"/>
    <w:rsid w:val="37922606"/>
    <w:rsid w:val="37EE614D"/>
    <w:rsid w:val="390D1E8A"/>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94519B"/>
    <w:rsid w:val="45A23A80"/>
    <w:rsid w:val="45A7242F"/>
    <w:rsid w:val="45ED07BE"/>
    <w:rsid w:val="46F936A8"/>
    <w:rsid w:val="4755437D"/>
    <w:rsid w:val="4773430F"/>
    <w:rsid w:val="47AF4141"/>
    <w:rsid w:val="48481EDA"/>
    <w:rsid w:val="4A30650D"/>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F306DA"/>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98425A"/>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