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 xml:space="preserve">κ轻链检测试剂盒（免疫比浊法）等耗材（第二次) </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03001</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1"/>
        <w:gridCol w:w="895"/>
        <w:gridCol w:w="1350"/>
        <w:gridCol w:w="1464"/>
        <w:gridCol w:w="1965"/>
        <w:gridCol w:w="2074"/>
        <w:gridCol w:w="826"/>
        <w:gridCol w:w="946"/>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4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9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35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46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9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0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44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7"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9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κ轻链检测试剂盒（免疫比浊法）</w:t>
            </w:r>
          </w:p>
        </w:tc>
        <w:tc>
          <w:tcPr>
            <w:tcW w:w="146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w:t>
            </w:r>
          </w:p>
        </w:tc>
        <w:tc>
          <w:tcPr>
            <w:tcW w:w="19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κ轻链检测，用于体外定量检测人体样本（血清、尿液）中κ轻链的含量。临床上主要用于自身免疫疾病、感染、肝病、肾病等的辅助诊断。</w:t>
            </w:r>
          </w:p>
        </w:tc>
        <w:tc>
          <w:tcPr>
            <w:tcW w:w="207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样本中的κ轻链与试剂中的抗κ轻链抗体反应形成抗原/抗体复合物，该复合物的浊度与κ轻链的浓度成正比，进行比浊检测。</w:t>
            </w:r>
          </w:p>
        </w:tc>
        <w:tc>
          <w:tcPr>
            <w:tcW w:w="8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1000人份</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8元/</w:t>
            </w:r>
            <w:r>
              <w:rPr>
                <w:rFonts w:hint="eastAsia"/>
                <w:lang w:val="en-US" w:eastAsia="zh-CN"/>
              </w:rPr>
              <w:t>人份</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pPr>
              <w:keepNext w:val="0"/>
              <w:keepLines w:val="0"/>
              <w:widowControl/>
              <w:suppressLineNumbers w:val="0"/>
              <w:jc w:val="left"/>
              <w:textAlignment w:val="center"/>
              <w:rPr>
                <w:rFonts w:hint="default"/>
                <w:lang w:val="en-US" w:eastAsia="zh-CN"/>
              </w:rPr>
            </w:pPr>
            <w:r>
              <w:rPr>
                <w:rFonts w:hint="eastAsia"/>
                <w:lang w:val="en-US" w:eastAsia="zh-CN"/>
              </w:rPr>
              <w:t>2.含配套</w:t>
            </w:r>
            <w:r>
              <w:rPr>
                <w:rFonts w:hint="eastAsia"/>
              </w:rPr>
              <w:t>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7"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9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λ轻链检测试剂盒（免疫比浊法）</w:t>
            </w:r>
          </w:p>
        </w:tc>
        <w:tc>
          <w:tcPr>
            <w:tcW w:w="146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w:t>
            </w:r>
          </w:p>
        </w:tc>
        <w:tc>
          <w:tcPr>
            <w:tcW w:w="19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主要由液体+塑料试剂瓶+纸盒组成，200测试/盒</w:t>
            </w:r>
          </w:p>
        </w:tc>
        <w:tc>
          <w:tcPr>
            <w:tcW w:w="20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主要由液体+塑料试剂瓶+纸盒组成，200测试/盒</w:t>
            </w:r>
          </w:p>
        </w:tc>
        <w:tc>
          <w:tcPr>
            <w:tcW w:w="826"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1000人份</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8元/</w:t>
            </w:r>
            <w:r>
              <w:rPr>
                <w:rFonts w:hint="eastAsia"/>
                <w:lang w:val="en-US" w:eastAsia="zh-CN"/>
              </w:rPr>
              <w:t>人份</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pPr>
              <w:keepNext w:val="0"/>
              <w:keepLines w:val="0"/>
              <w:widowControl/>
              <w:suppressLineNumbers w:val="0"/>
              <w:jc w:val="left"/>
              <w:textAlignment w:val="center"/>
              <w:rPr>
                <w:rFonts w:hint="default" w:ascii="Times New Roman" w:hAnsi="Times New Roman" w:eastAsia="宋体" w:cs="Times New Roman"/>
                <w:kern w:val="2"/>
                <w:sz w:val="21"/>
                <w:lang w:val="en-US" w:eastAsia="zh-CN" w:bidi="ar-SA"/>
              </w:rPr>
            </w:pPr>
            <w:r>
              <w:rPr>
                <w:rFonts w:hint="eastAsia"/>
                <w:lang w:val="en-US" w:eastAsia="zh-CN"/>
              </w:rPr>
              <w:t>2.含配套</w:t>
            </w:r>
            <w:r>
              <w:rPr>
                <w:rFonts w:hint="eastAsia"/>
              </w:rPr>
              <w:t>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8"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9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κ游离轻链检测试剂盒（散射比浊法）</w:t>
            </w:r>
          </w:p>
        </w:tc>
        <w:tc>
          <w:tcPr>
            <w:tcW w:w="146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w:t>
            </w:r>
          </w:p>
        </w:tc>
        <w:tc>
          <w:tcPr>
            <w:tcW w:w="19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κ游离轻链检测用于多发性骨髓瘤、淀粉样变性或自身免疫性疾病等疾病的诊疗。</w:t>
            </w:r>
          </w:p>
        </w:tc>
        <w:tc>
          <w:tcPr>
            <w:tcW w:w="20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样本中的游离κ轻链与试剂中的抗游离κ轻链抗体发生凝集反应，形成抗原抗体复合物，该复合物的光散射强度变化与游离κ轻链的浓度成比例，可进行速率散射比浊测定。</w:t>
            </w:r>
          </w:p>
        </w:tc>
        <w:tc>
          <w:tcPr>
            <w:tcW w:w="826"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500人份</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50元/</w:t>
            </w:r>
            <w:r>
              <w:rPr>
                <w:rFonts w:hint="eastAsia"/>
                <w:lang w:val="en-US" w:eastAsia="zh-CN"/>
              </w:rPr>
              <w:t>人份</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pPr>
              <w:keepNext w:val="0"/>
              <w:keepLines w:val="0"/>
              <w:widowControl/>
              <w:suppressLineNumbers w:val="0"/>
              <w:jc w:val="left"/>
              <w:textAlignment w:val="center"/>
              <w:rPr>
                <w:rFonts w:hint="default" w:ascii="Times New Roman" w:hAnsi="Times New Roman" w:eastAsia="宋体" w:cs="Times New Roman"/>
                <w:kern w:val="2"/>
                <w:sz w:val="21"/>
                <w:lang w:val="en-US" w:eastAsia="zh-CN" w:bidi="ar-SA"/>
              </w:rPr>
            </w:pPr>
            <w:r>
              <w:rPr>
                <w:rFonts w:hint="eastAsia"/>
                <w:lang w:val="en-US" w:eastAsia="zh-CN"/>
              </w:rPr>
              <w:t>2.含配套</w:t>
            </w:r>
            <w:r>
              <w:rPr>
                <w:rFonts w:hint="eastAsia"/>
              </w:rPr>
              <w:t>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0"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λ游离轻链检测试剂盒（散射比浊法）</w:t>
            </w:r>
          </w:p>
        </w:tc>
        <w:tc>
          <w:tcPr>
            <w:tcW w:w="146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主要由液体+塑料试剂瓶+纸盒组成</w:t>
            </w:r>
          </w:p>
        </w:tc>
        <w:tc>
          <w:tcPr>
            <w:tcW w:w="196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λ游离轻链检测用于多发性骨髓瘤、淀粉样变性或自身免疫性疾病等疾病的诊疗。</w:t>
            </w:r>
          </w:p>
        </w:tc>
        <w:tc>
          <w:tcPr>
            <w:tcW w:w="207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样本中的游离λ轻链与试剂中的抗游离λ轻链抗体发生凝集反应，形成抗原抗体复合物，该复合物的光散射强度变化与游离λ轻链的浓度成比例，可进行速率散射比浊测定</w:t>
            </w:r>
          </w:p>
        </w:tc>
        <w:tc>
          <w:tcPr>
            <w:tcW w:w="8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500人份</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50元/</w:t>
            </w:r>
            <w:r>
              <w:rPr>
                <w:rFonts w:hint="eastAsia"/>
                <w:lang w:val="en-US" w:eastAsia="zh-CN"/>
              </w:rPr>
              <w:t>人份</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pPr>
              <w:keepNext w:val="0"/>
              <w:keepLines w:val="0"/>
              <w:widowControl/>
              <w:suppressLineNumbers w:val="0"/>
              <w:jc w:val="left"/>
              <w:textAlignment w:val="center"/>
              <w:rPr>
                <w:rFonts w:hint="default" w:ascii="Times New Roman" w:hAnsi="Times New Roman" w:eastAsia="宋体" w:cs="Times New Roman"/>
                <w:kern w:val="2"/>
                <w:sz w:val="21"/>
                <w:lang w:val="en-US" w:eastAsia="zh-CN" w:bidi="ar-SA"/>
              </w:rPr>
            </w:pPr>
            <w:r>
              <w:rPr>
                <w:rFonts w:hint="eastAsia"/>
                <w:lang w:val="en-US" w:eastAsia="zh-CN"/>
              </w:rPr>
              <w:t>2.含配套</w:t>
            </w:r>
            <w:r>
              <w:rPr>
                <w:rFonts w:hint="eastAsia"/>
              </w:rPr>
              <w:t>质控品和校准品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1375"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56196446"/>
      <w:bookmarkStart w:id="2" w:name="_Toc128229721"/>
      <w:bookmarkStart w:id="3" w:name="_Toc237057789"/>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66139912"/>
      <w:bookmarkStart w:id="7" w:name="_Toc173677397"/>
      <w:bookmarkStart w:id="8" w:name="_Toc128229745"/>
      <w:bookmarkStart w:id="9" w:name="_Toc128229916"/>
      <w:bookmarkStart w:id="10" w:name="_Toc156196470"/>
      <w:bookmarkStart w:id="11" w:name="_Toc128229302"/>
      <w:bookmarkStart w:id="12" w:name="_Toc156196559"/>
      <w:bookmarkStart w:id="13" w:name="_Toc175017342"/>
      <w:bookmarkStart w:id="14" w:name="_Toc166549448"/>
      <w:bookmarkStart w:id="15" w:name="_Toc1568157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917"/>
      <w:bookmarkStart w:id="17" w:name="_Toc128229746"/>
      <w:bookmarkStart w:id="18" w:name="_Toc175017343"/>
      <w:bookmarkStart w:id="19" w:name="_Toc166139913"/>
      <w:bookmarkStart w:id="20" w:name="_Toc156815771"/>
      <w:bookmarkStart w:id="21" w:name="_Toc156196471"/>
      <w:bookmarkStart w:id="22" w:name="_Toc156196560"/>
      <w:bookmarkStart w:id="23" w:name="_Toc173677398"/>
      <w:bookmarkStart w:id="24" w:name="_Toc128229303"/>
      <w:bookmarkStart w:id="25" w:name="_Toc166549449"/>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73677399"/>
      <w:bookmarkStart w:id="29" w:name="_Toc237057793"/>
      <w:bookmarkStart w:id="30" w:name="_Toc156196472"/>
      <w:bookmarkStart w:id="31" w:name="_Toc175017344"/>
      <w:bookmarkStart w:id="32" w:name="_Toc128229304"/>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e192a174-2a6b-4725-86ae-3789e994240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83760e99-89e1-45b7-84e9-ea91868fd89a}"/>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30dc686e-2f90-46f5-91f0-2ac99ac8784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2db03ebf-487c-4231-a242-1bc600d4339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f20062e2-94b9-4935-8a1c-4c1095bb439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eef6f0c-8536-42a4-b5eb-1d13fcb210d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ddb90add-9f4b-41d6-ba74-60fd8b07329a}"/>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6B1F88"/>
    <w:rsid w:val="038E466A"/>
    <w:rsid w:val="03D451A1"/>
    <w:rsid w:val="04314362"/>
    <w:rsid w:val="045301F6"/>
    <w:rsid w:val="045A10E2"/>
    <w:rsid w:val="054A568F"/>
    <w:rsid w:val="05A1651B"/>
    <w:rsid w:val="07043A2A"/>
    <w:rsid w:val="078057A6"/>
    <w:rsid w:val="07BF7925"/>
    <w:rsid w:val="08183C31"/>
    <w:rsid w:val="08305016"/>
    <w:rsid w:val="08480E12"/>
    <w:rsid w:val="0A0126EF"/>
    <w:rsid w:val="0A2C7BD0"/>
    <w:rsid w:val="0AEF7612"/>
    <w:rsid w:val="0B281E05"/>
    <w:rsid w:val="0B2964A2"/>
    <w:rsid w:val="0B982A6A"/>
    <w:rsid w:val="0C1A03FD"/>
    <w:rsid w:val="0C25027D"/>
    <w:rsid w:val="0D92520D"/>
    <w:rsid w:val="0E121180"/>
    <w:rsid w:val="0E693A04"/>
    <w:rsid w:val="0E74655B"/>
    <w:rsid w:val="0F1978A3"/>
    <w:rsid w:val="0F262B64"/>
    <w:rsid w:val="0F2E7B6F"/>
    <w:rsid w:val="0F5C53DF"/>
    <w:rsid w:val="0F776B4A"/>
    <w:rsid w:val="0FAE5575"/>
    <w:rsid w:val="1060172D"/>
    <w:rsid w:val="11135531"/>
    <w:rsid w:val="111663BA"/>
    <w:rsid w:val="1127726F"/>
    <w:rsid w:val="112A1D2D"/>
    <w:rsid w:val="116640D2"/>
    <w:rsid w:val="120F1C5C"/>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1FEB431E"/>
    <w:rsid w:val="20262375"/>
    <w:rsid w:val="206B29E9"/>
    <w:rsid w:val="213F1AC9"/>
    <w:rsid w:val="217A21C5"/>
    <w:rsid w:val="22CB5230"/>
    <w:rsid w:val="22E50F79"/>
    <w:rsid w:val="24027D8C"/>
    <w:rsid w:val="24051BA8"/>
    <w:rsid w:val="246977C1"/>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EB34C26"/>
    <w:rsid w:val="2F0754D4"/>
    <w:rsid w:val="2F480F12"/>
    <w:rsid w:val="2FBB1EC7"/>
    <w:rsid w:val="30B77259"/>
    <w:rsid w:val="316D0DA5"/>
    <w:rsid w:val="31747F90"/>
    <w:rsid w:val="31EB6582"/>
    <w:rsid w:val="31EC6056"/>
    <w:rsid w:val="322D045B"/>
    <w:rsid w:val="32B10CAA"/>
    <w:rsid w:val="336B6A5B"/>
    <w:rsid w:val="34817B05"/>
    <w:rsid w:val="34E96C65"/>
    <w:rsid w:val="35B37CD8"/>
    <w:rsid w:val="35F91BA0"/>
    <w:rsid w:val="36455513"/>
    <w:rsid w:val="36592E47"/>
    <w:rsid w:val="36B97ADD"/>
    <w:rsid w:val="37441EF9"/>
    <w:rsid w:val="375A4E1C"/>
    <w:rsid w:val="37922606"/>
    <w:rsid w:val="37EE614D"/>
    <w:rsid w:val="395A55A8"/>
    <w:rsid w:val="39670BA3"/>
    <w:rsid w:val="39675BD9"/>
    <w:rsid w:val="397F3D71"/>
    <w:rsid w:val="3A022CB0"/>
    <w:rsid w:val="3A073743"/>
    <w:rsid w:val="3A5710F0"/>
    <w:rsid w:val="3CCA1B30"/>
    <w:rsid w:val="3E633BE2"/>
    <w:rsid w:val="40E13B95"/>
    <w:rsid w:val="41E440AB"/>
    <w:rsid w:val="41EF5F53"/>
    <w:rsid w:val="42784D13"/>
    <w:rsid w:val="43533C25"/>
    <w:rsid w:val="4365514D"/>
    <w:rsid w:val="4413072B"/>
    <w:rsid w:val="446D3310"/>
    <w:rsid w:val="44BE681C"/>
    <w:rsid w:val="458200D5"/>
    <w:rsid w:val="4594519B"/>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A738E9"/>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6706BD"/>
    <w:rsid w:val="67B80689"/>
    <w:rsid w:val="6870599E"/>
    <w:rsid w:val="68A37B22"/>
    <w:rsid w:val="68AC0380"/>
    <w:rsid w:val="69D16388"/>
    <w:rsid w:val="69F33675"/>
    <w:rsid w:val="6A1E1D58"/>
    <w:rsid w:val="6B3B2D19"/>
    <w:rsid w:val="6B776B5F"/>
    <w:rsid w:val="6D0B745B"/>
    <w:rsid w:val="6D116053"/>
    <w:rsid w:val="6D406C99"/>
    <w:rsid w:val="6D98425A"/>
    <w:rsid w:val="6DA93E2C"/>
    <w:rsid w:val="6DC35E66"/>
    <w:rsid w:val="6E2521BC"/>
    <w:rsid w:val="6E2F6425"/>
    <w:rsid w:val="6E3E05AF"/>
    <w:rsid w:val="6E651BFD"/>
    <w:rsid w:val="6E766686"/>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203301"/>
    <w:rsid w:val="75AD2D57"/>
    <w:rsid w:val="76383848"/>
    <w:rsid w:val="76CA13F7"/>
    <w:rsid w:val="7717653A"/>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192a174-2a6b-4725-86ae-3789e9942406}"/>
        <w:style w:val=""/>
        <w:category>
          <w:name w:val="常规"/>
          <w:gallery w:val="placeholder"/>
        </w:category>
        <w:types>
          <w:type w:val="bbPlcHdr"/>
        </w:types>
        <w:behaviors>
          <w:behavior w:val="content"/>
        </w:behaviors>
        <w:description w:val=""/>
        <w:guid w:val="{e192a174-2a6b-4725-86ae-3789e9942406}"/>
      </w:docPartPr>
      <w:docPartBody>
        <w:p>
          <w:r>
            <w:rPr>
              <w:color w:val="808080"/>
            </w:rPr>
            <w:t>选择一项。</w:t>
          </w:r>
        </w:p>
      </w:docPartBody>
    </w:docPart>
    <w:docPart>
      <w:docPartPr>
        <w:name w:val="{83760e99-89e1-45b7-84e9-ea91868fd89a}"/>
        <w:style w:val=""/>
        <w:category>
          <w:name w:val="常规"/>
          <w:gallery w:val="placeholder"/>
        </w:category>
        <w:types>
          <w:type w:val="bbPlcHdr"/>
        </w:types>
        <w:behaviors>
          <w:behavior w:val="content"/>
        </w:behaviors>
        <w:description w:val=""/>
        <w:guid w:val="{83760e99-89e1-45b7-84e9-ea91868fd89a}"/>
      </w:docPartPr>
      <w:docPartBody>
        <w:p>
          <w:r>
            <w:rPr>
              <w:color w:val="808080"/>
            </w:rPr>
            <w:t>选择一项。</w:t>
          </w:r>
        </w:p>
      </w:docPartBody>
    </w:docPart>
    <w:docPart>
      <w:docPartPr>
        <w:name w:val="{30dc686e-2f90-46f5-91f0-2ac99ac8784b}"/>
        <w:style w:val=""/>
        <w:category>
          <w:name w:val="常规"/>
          <w:gallery w:val="placeholder"/>
        </w:category>
        <w:types>
          <w:type w:val="bbPlcHdr"/>
        </w:types>
        <w:behaviors>
          <w:behavior w:val="content"/>
        </w:behaviors>
        <w:description w:val=""/>
        <w:guid w:val="{30dc686e-2f90-46f5-91f0-2ac99ac8784b}"/>
      </w:docPartPr>
      <w:docPartBody>
        <w:p>
          <w:r>
            <w:rPr>
              <w:color w:val="808080"/>
            </w:rPr>
            <w:t>选择一项。</w:t>
          </w:r>
        </w:p>
      </w:docPartBody>
    </w:docPart>
    <w:docPart>
      <w:docPartPr>
        <w:name w:val="{2db03ebf-487c-4231-a242-1bc600d43398}"/>
        <w:style w:val=""/>
        <w:category>
          <w:name w:val="常规"/>
          <w:gallery w:val="placeholder"/>
        </w:category>
        <w:types>
          <w:type w:val="bbPlcHdr"/>
        </w:types>
        <w:behaviors>
          <w:behavior w:val="content"/>
        </w:behaviors>
        <w:description w:val=""/>
        <w:guid w:val="{2db03ebf-487c-4231-a242-1bc600d43398}"/>
      </w:docPartPr>
      <w:docPartBody>
        <w:p>
          <w:r>
            <w:rPr>
              <w:color w:val="808080"/>
            </w:rPr>
            <w:t>选择一项。</w:t>
          </w:r>
        </w:p>
      </w:docPartBody>
    </w:docPart>
    <w:docPart>
      <w:docPartPr>
        <w:name w:val="{f20062e2-94b9-4935-8a1c-4c1095bb4395}"/>
        <w:style w:val=""/>
        <w:category>
          <w:name w:val="常规"/>
          <w:gallery w:val="placeholder"/>
        </w:category>
        <w:types>
          <w:type w:val="bbPlcHdr"/>
        </w:types>
        <w:behaviors>
          <w:behavior w:val="content"/>
        </w:behaviors>
        <w:description w:val=""/>
        <w:guid w:val="{f20062e2-94b9-4935-8a1c-4c1095bb4395}"/>
      </w:docPartPr>
      <w:docPartBody>
        <w:p>
          <w:r>
            <w:rPr>
              <w:color w:val="808080"/>
            </w:rPr>
            <w:t>选择一项。</w:t>
          </w:r>
        </w:p>
      </w:docPartBody>
    </w:docPart>
    <w:docPart>
      <w:docPartPr>
        <w:name w:val="{1eef6f0c-8536-42a4-b5eb-1d13fcb210d3}"/>
        <w:style w:val=""/>
        <w:category>
          <w:name w:val="常规"/>
          <w:gallery w:val="placeholder"/>
        </w:category>
        <w:types>
          <w:type w:val="bbPlcHdr"/>
        </w:types>
        <w:behaviors>
          <w:behavior w:val="content"/>
        </w:behaviors>
        <w:description w:val=""/>
        <w:guid w:val="{1eef6f0c-8536-42a4-b5eb-1d13fcb210d3}"/>
      </w:docPartPr>
      <w:docPartBody>
        <w:p>
          <w:r>
            <w:rPr>
              <w:color w:val="808080"/>
            </w:rPr>
            <w:t>选择一项。</w:t>
          </w:r>
        </w:p>
      </w:docPartBody>
    </w:docPart>
    <w:docPart>
      <w:docPartPr>
        <w:name w:val="{ddb90add-9f4b-41d6-ba74-60fd8b07329a}"/>
        <w:style w:val=""/>
        <w:category>
          <w:name w:val="常规"/>
          <w:gallery w:val="placeholder"/>
        </w:category>
        <w:types>
          <w:type w:val="bbPlcHdr"/>
        </w:types>
        <w:behaviors>
          <w:behavior w:val="content"/>
        </w:behaviors>
        <w:description w:val=""/>
        <w:guid w:val="{ddb90add-9f4b-41d6-ba74-60fd8b07329a}"/>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10852</Words>
  <Characters>12114</Characters>
  <Lines>202</Lines>
  <Paragraphs>243</Paragraphs>
  <TotalTime>0</TotalTime>
  <ScaleCrop>false</ScaleCrop>
  <LinksUpToDate>false</LinksUpToDate>
  <CharactersWithSpaces>12631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2026-07-13T07:11:55Z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F4DFB62D10AC4710A21B1D0F689BD915_13</vt:lpwstr>
  </property>
  <property fmtid="{D5CDD505-2E9C-101B-9397-08002B2CF9AE}" pid="4" name="KSOTemplateDocerSaveRecord">
    <vt:lpwstr>eyJoZGlkIjoiNzliNmRkY2YyN2FjZDQwMDgzZGM4ZDZkNTA3MTFmNGMiLCJ1c2VySWQiOiIxNjE2MTQ1MTM5In0=</vt:lpwstr>
  </property>
</Properties>
</file>