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项目名称：一次性使用痔吻合器</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04012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4</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927"/>
        <w:gridCol w:w="1155"/>
        <w:gridCol w:w="1215"/>
        <w:gridCol w:w="3780"/>
        <w:gridCol w:w="826"/>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92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37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胃肠(肛肠、疝)外科</w:t>
            </w:r>
          </w:p>
        </w:tc>
        <w:tc>
          <w:tcPr>
            <w:tcW w:w="92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一次性使用痔吻合器</w:t>
            </w:r>
          </w:p>
        </w:tc>
        <w:tc>
          <w:tcPr>
            <w:tcW w:w="115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lang w:val="en-US" w:eastAsia="zh-CN"/>
              </w:rPr>
            </w:pPr>
            <w:r>
              <w:rPr>
                <w:rFonts w:hint="eastAsia"/>
                <w:lang w:val="en-US" w:eastAsia="zh-CN"/>
              </w:rPr>
              <w:t>钛合金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34m</w:t>
            </w:r>
            <w:bookmarkStart w:id="34" w:name="_GoBack"/>
            <w:bookmarkEnd w:id="34"/>
            <w:r>
              <w:rPr>
                <w:rFonts w:hint="eastAsia"/>
                <w:lang w:val="en-US" w:eastAsia="zh-CN"/>
              </w:rPr>
              <w:t>m</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适用于齿状线上黏膜选择性切除</w:t>
            </w:r>
          </w:p>
        </w:tc>
        <w:tc>
          <w:tcPr>
            <w:tcW w:w="37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lang w:val="en-US" w:eastAsia="zh-CN"/>
              </w:rPr>
            </w:pPr>
            <w:r>
              <w:rPr>
                <w:rFonts w:hint="eastAsia"/>
                <w:lang w:val="en-US" w:eastAsia="zh-CN"/>
              </w:rPr>
              <w:t>一次性肛肠吻合器主要由抵钉座、吻切组件、后收紧圈、指示视窗、固定手柄、蝶形调节螺母、活动手柄、保险块、环形刀、吻合钉、垫刀圈组成，附件由扩张器、导入管、加长导入器、1孔、2孔、3孔扩张器、穿线器、引线钩组成，采用ABS或聚碳酸酯塑料制成;配套件为不可吸收外科缝线(带针)，吻合器根据抵钉座总成是否可拆分，分为连体式和分体式两类，根据配套附件不同分为八种型号;根据吻切组件外径不同分为三种规格。</w:t>
            </w:r>
          </w:p>
        </w:tc>
        <w:tc>
          <w:tcPr>
            <w:tcW w:w="8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20套</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364元/套</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2.投标保证金及管理要求：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见索即付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3.履约保证金及管理要求：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合同期内，履约保证金作为违约金或其他用途减少的，供应商应及时补足金额。合同期内，供应商无违约违纪违法行为，采购人一次性退还履约保证金。</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4.</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配送第三方SPD服务费、</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以下内容重点提示，必须完全响应：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w:t>
      </w:r>
      <w:r>
        <w:rPr>
          <w:rFonts w:hint="eastAsia" w:ascii="方正仿宋_GBK" w:hAnsi="方正仿宋_GBK" w:eastAsia="方正仿宋_GBK" w:cs="方正仿宋_GBK"/>
          <w:b w:val="0"/>
          <w:bCs w:val="0"/>
          <w:color w:val="auto"/>
          <w:sz w:val="30"/>
          <w:szCs w:val="30"/>
          <w:highlight w:val="none"/>
          <w:lang w:val="en-US" w:eastAsia="zh-CN"/>
        </w:rPr>
        <w:t>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（3）合同履约期间，供应商非不可抗力原因主动放弃合同中的部分产品，采购人有权终止整个合同，避免供应商选择性供应利润较大的产品，并按照上述第二条的要求追究供应商违约责任。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4）供应商需提供药交所最低成交价和重庆地区最低价书面承诺，如产品降价应在一周内书面通知采购人，违反承诺将承担5万元违约金（在履约保证金或货款中扣除），并从最低价执行之日倒结算并退还采购人多付费用，同时采购人有权解除采购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color w:val="auto"/>
          <w:sz w:val="30"/>
          <w:szCs w:val="30"/>
          <w:highlight w:val="none"/>
          <w:lang w:val="en-US" w:eastAsia="zh-CN"/>
        </w:rPr>
        <w:t>（5）供应商报价如</w:t>
      </w:r>
      <w:r>
        <w:rPr>
          <w:rFonts w:hint="eastAsia" w:ascii="方正仿宋_GBK" w:hAnsi="方正仿宋_GBK" w:eastAsia="方正仿宋_GBK" w:cs="方正仿宋_GBK"/>
          <w:b w:val="0"/>
          <w:bCs w:val="0"/>
          <w:sz w:val="30"/>
          <w:szCs w:val="30"/>
          <w:highlight w:val="none"/>
          <w:lang w:val="en-US" w:eastAsia="zh-CN"/>
        </w:rPr>
        <w:t>不能执行药交所最低成交价的需提交药交所最低价产生原因、产品成本分析报告、周边医院成交合同价格等数据资料作为佐证，并得到采购人的认可，否则视为无效响应。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（6）如供应商响应产品的报价低于药交所最低成交价或者属于药交所未挂网的产品，默认为供应商同意采购人通过药交所线上备案采购并在线上结算，严禁线下采购医用耗材。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7）供应商响应的产品如在京东、淘宝等电商平台进行销售的，供应商的报价不得高于电商平台产品的售价，且供应商应随时关注本公司销售的所有在合同效期内的产品是否在电商平台进行销售，并提供书面承诺所有销售的产品价格未高于电商平台的价格，未提供书面承诺的视为无效响应。</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w:t>
      </w:r>
      <w:r>
        <w:rPr>
          <w:rFonts w:hint="eastAsia" w:ascii="方正仿宋_GBK" w:hAnsi="方正仿宋_GBK" w:eastAsia="方正仿宋_GBK" w:cs="方正仿宋_GBK"/>
          <w:b w:val="0"/>
          <w:bCs w:val="0"/>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（9）如供应商响应的产品是专机专用配套耗材，其报价不得高于此前设备采购时耗材的报价（如有招采专机专用耗材的设备），否则视为无效响应。</w:t>
      </w:r>
    </w:p>
    <w:p>
      <w:pPr>
        <w:pageBreakBefore w:val="0"/>
        <w:widowControl w:val="0"/>
        <w:numPr>
          <w:ilvl w:val="0"/>
          <w:numId w:val="0"/>
        </w:numPr>
        <w:kinsoku/>
        <w:wordWrap/>
        <w:overflowPunct/>
        <w:topLinePunct w:val="0"/>
        <w:autoSpaceDE/>
        <w:autoSpaceDN/>
        <w:bidi w:val="0"/>
        <w:adjustRightInd/>
        <w:snapToGrid w:val="0"/>
        <w:spacing w:line="400" w:lineRule="exact"/>
        <w:ind w:firstLine="600" w:firstLineChars="200"/>
        <w:textAlignment w:val="baseline"/>
        <w:rPr>
          <w:rFonts w:hint="default" w:ascii="方正仿宋_GBK" w:hAnsi="方正仿宋_GBK" w:eastAsia="方正仿宋_GBK" w:cs="方正仿宋_GBK"/>
          <w:b w:val="0"/>
          <w:bCs w:val="0"/>
          <w:color w:val="auto"/>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（10）为确保供应商配送产品的合法来源和报价的可行性，中选供应商应主动提供产品的生产厂家或逐级代理商的授权及资质（</w:t>
      </w:r>
      <w:r>
        <w:rPr>
          <w:rFonts w:hint="eastAsia" w:ascii="方正仿宋_GBK" w:hAnsi="方正仿宋_GBK" w:eastAsia="方正仿宋_GBK" w:cs="方正仿宋_GBK"/>
          <w:b w:val="0"/>
          <w:bCs w:val="0"/>
          <w:kern w:val="2"/>
          <w:sz w:val="30"/>
          <w:szCs w:val="30"/>
          <w:highlight w:val="none"/>
          <w:lang w:val="en-US" w:eastAsia="zh-CN" w:bidi="ar-SA"/>
        </w:rPr>
        <w:t>可在投标响应文件中一并提供</w:t>
      </w:r>
      <w:r>
        <w:rPr>
          <w:rFonts w:hint="eastAsia" w:ascii="方正仿宋_GBK" w:hAnsi="方正仿宋_GBK" w:eastAsia="方正仿宋_GBK" w:cs="方正仿宋_GBK"/>
          <w:b w:val="0"/>
          <w:bCs w:val="0"/>
          <w:sz w:val="30"/>
          <w:szCs w:val="30"/>
          <w:highlight w:val="none"/>
          <w:lang w:val="en-US" w:eastAsia="zh-CN"/>
        </w:rPr>
        <w:t>，也可在中选后5个工作日内送采购人审核，否则视为无效响应，投标保证金将不予退还）。</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none"/>
          <w:lang w:val="en-US" w:eastAsia="zh-CN"/>
        </w:rPr>
        <w:t>（11）供应商响应文件中多处报价不一致的，将按照对采购人有利的报价执行，否则投标保证金将不予退还，并承担采购人重新招采的费用。</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b w:val="0"/>
          <w:bCs w:val="0"/>
          <w:sz w:val="30"/>
          <w:szCs w:val="30"/>
          <w:highlight w:val="none"/>
          <w:lang w:val="en-US" w:eastAsia="zh-CN"/>
        </w:rPr>
      </w:pPr>
      <w:r>
        <w:rPr>
          <w:rFonts w:hint="eastAsia" w:ascii="方正仿宋_GBK" w:hAnsi="方正仿宋_GBK" w:eastAsia="方正仿宋_GBK" w:cs="方正仿宋_GBK"/>
          <w:b w:val="0"/>
          <w:bCs w:val="0"/>
          <w:sz w:val="30"/>
          <w:szCs w:val="30"/>
          <w:highlight w:val="yellow"/>
          <w:lang w:val="en-US" w:eastAsia="zh-CN"/>
        </w:rPr>
        <w:t>（12）对非集采价格的产品，采购人将组织有效报价的供应商进行二次议价。二次议价时发现前期采购文件内容约定不明确的，将在采购记录中进行明确。</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（2）采购人批量订货，成交供应商送达后每半年根据实际使用情况开具相应金额的发票、送货验收单，采购人在收齐资料后进行院内付款流程。付款方式以银行汇款方式支付费用。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7.联合体投标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8.合同管理及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yellow"/>
        </w:rPr>
      </w:pPr>
      <w:r>
        <w:rPr>
          <w:rFonts w:hint="eastAsia" w:ascii="方正仿宋_GBK" w:hAnsi="方正仿宋_GBK" w:eastAsia="方正仿宋_GBK" w:cs="方正仿宋_GBK"/>
          <w:color w:val="auto"/>
          <w:sz w:val="30"/>
          <w:szCs w:val="30"/>
          <w:highlight w:val="yellow"/>
          <w:lang w:val="en-US" w:eastAsia="zh-CN"/>
        </w:rPr>
        <w:t>（1）本项目</w:t>
      </w:r>
      <w:r>
        <w:rPr>
          <w:rFonts w:hint="eastAsia" w:ascii="方正仿宋_GBK" w:hAnsi="方正仿宋_GBK" w:eastAsia="方正仿宋_GBK" w:cs="方正仿宋_GBK"/>
          <w:sz w:val="30"/>
          <w:szCs w:val="30"/>
          <w:highlight w:val="yellow"/>
        </w:rPr>
        <w:t>合同</w:t>
      </w:r>
      <w:r>
        <w:rPr>
          <w:rFonts w:hint="eastAsia" w:ascii="方正仿宋_GBK" w:hAnsi="方正仿宋_GBK" w:eastAsia="方正仿宋_GBK" w:cs="方正仿宋_GBK"/>
          <w:sz w:val="30"/>
          <w:szCs w:val="30"/>
          <w:highlight w:val="yellow"/>
          <w:lang w:val="en-US" w:eastAsia="zh-CN"/>
        </w:rPr>
        <w:t>期限</w:t>
      </w:r>
      <w:r>
        <w:rPr>
          <w:rFonts w:hint="eastAsia" w:ascii="方正仿宋_GBK" w:hAnsi="方正仿宋_GBK" w:eastAsia="方正仿宋_GBK" w:cs="方正仿宋_GBK"/>
          <w:sz w:val="30"/>
          <w:szCs w:val="30"/>
          <w:highlight w:val="yellow"/>
        </w:rPr>
        <w:t>3年</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rPr>
        <w:t>签订合同后，根据</w:t>
      </w:r>
      <w:r>
        <w:rPr>
          <w:rFonts w:hint="eastAsia" w:ascii="方正仿宋_GBK" w:hAnsi="方正仿宋_GBK" w:eastAsia="方正仿宋_GBK" w:cs="方正仿宋_GBK"/>
          <w:sz w:val="30"/>
          <w:szCs w:val="30"/>
          <w:highlight w:val="yellow"/>
          <w:lang w:val="en-US" w:eastAsia="zh-CN"/>
        </w:rPr>
        <w:t>采购人</w:t>
      </w:r>
      <w:r>
        <w:rPr>
          <w:rFonts w:hint="eastAsia" w:ascii="方正仿宋_GBK" w:hAnsi="方正仿宋_GBK" w:eastAsia="方正仿宋_GBK" w:cs="方正仿宋_GBK"/>
          <w:sz w:val="30"/>
          <w:szCs w:val="30"/>
          <w:highlight w:val="yellow"/>
        </w:rPr>
        <w:t>要求按批次进行供货。</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sz w:val="30"/>
          <w:szCs w:val="30"/>
          <w:highlight w:val="yellow"/>
          <w:lang w:val="en-US" w:eastAsia="zh-CN"/>
        </w:rPr>
        <w:t>2</w:t>
      </w:r>
      <w:r>
        <w:rPr>
          <w:rFonts w:hint="eastAsia" w:ascii="方正仿宋_GBK" w:hAnsi="方正仿宋_GBK" w:eastAsia="方正仿宋_GBK" w:cs="方正仿宋_GBK"/>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合同签订前及履约过程中，采购人可随时要求供应商提供响应文件的原件进行复核查对。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（3）此外对未使用的产品有权要求拟成交供应商提供部分样品进行试用，根据临床科室试用意见确定成交供应商。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eastAsia="zh-CN"/>
        </w:rPr>
      </w:pPr>
      <w:r>
        <w:rPr>
          <w:rFonts w:hint="eastAsia" w:ascii="方正仿宋_GBK" w:hAnsi="方正仿宋_GBK" w:eastAsia="方正仿宋_GBK" w:cs="方正仿宋_GBK"/>
          <w:color w:val="auto"/>
          <w:sz w:val="30"/>
          <w:szCs w:val="30"/>
          <w:highlight w:val="yellow"/>
          <w:lang w:val="en-US" w:eastAsia="zh-CN"/>
        </w:rPr>
        <w:t>（4）</w:t>
      </w:r>
      <w:r>
        <w:rPr>
          <w:rFonts w:hint="eastAsia" w:ascii="方正仿宋_GBK" w:hAnsi="方正仿宋_GBK" w:eastAsia="方正仿宋_GBK" w:cs="方正仿宋_GBK"/>
          <w:sz w:val="30"/>
          <w:szCs w:val="30"/>
          <w:highlight w:val="yellow"/>
          <w:lang w:val="en-US" w:eastAsia="zh-CN"/>
        </w:rPr>
        <w:t>一般情况供应商</w:t>
      </w:r>
      <w:r>
        <w:rPr>
          <w:rFonts w:hint="eastAsia" w:ascii="方正仿宋_GBK" w:hAnsi="方正仿宋_GBK" w:eastAsia="方正仿宋_GBK" w:cs="方正仿宋_GBK"/>
          <w:color w:val="auto"/>
          <w:sz w:val="30"/>
          <w:szCs w:val="30"/>
          <w:highlight w:val="yellow"/>
          <w:lang w:val="en-US" w:eastAsia="zh-CN"/>
        </w:rPr>
        <w:t>接到采购人</w:t>
      </w:r>
      <w:r>
        <w:rPr>
          <w:rFonts w:hint="eastAsia" w:ascii="方正仿宋_GBK" w:hAnsi="方正仿宋_GBK" w:eastAsia="方正仿宋_GBK" w:cs="方正仿宋_GBK"/>
          <w:color w:val="auto"/>
          <w:sz w:val="30"/>
          <w:szCs w:val="30"/>
          <w:highlight w:val="yellow"/>
          <w:lang w:eastAsia="zh-CN"/>
        </w:rPr>
        <w:t>送货通知</w:t>
      </w:r>
      <w:r>
        <w:rPr>
          <w:rFonts w:hint="eastAsia" w:ascii="方正仿宋_GBK" w:hAnsi="方正仿宋_GBK" w:eastAsia="方正仿宋_GBK" w:cs="方正仿宋_GBK"/>
          <w:color w:val="auto"/>
          <w:sz w:val="30"/>
          <w:szCs w:val="30"/>
          <w:highlight w:val="yellow"/>
          <w:lang w:val="en-US" w:eastAsia="zh-CN"/>
        </w:rPr>
        <w:t>48</w:t>
      </w:r>
      <w:r>
        <w:rPr>
          <w:rFonts w:hint="eastAsia" w:ascii="方正仿宋_GBK" w:hAnsi="方正仿宋_GBK" w:eastAsia="方正仿宋_GBK" w:cs="方正仿宋_GBK"/>
          <w:color w:val="auto"/>
          <w:sz w:val="30"/>
          <w:szCs w:val="30"/>
          <w:highlight w:val="yellow"/>
          <w:lang w:eastAsia="zh-CN"/>
        </w:rPr>
        <w:t>小时内将货物送到</w:t>
      </w:r>
      <w:r>
        <w:rPr>
          <w:rFonts w:hint="eastAsia" w:ascii="方正仿宋_GBK" w:hAnsi="方正仿宋_GBK" w:eastAsia="方正仿宋_GBK" w:cs="方正仿宋_GBK"/>
          <w:color w:val="auto"/>
          <w:sz w:val="30"/>
          <w:szCs w:val="30"/>
          <w:highlight w:val="yellow"/>
          <w:lang w:val="en-US" w:eastAsia="zh-CN"/>
        </w:rPr>
        <w:t>采购人指定</w:t>
      </w:r>
      <w:r>
        <w:rPr>
          <w:rFonts w:hint="eastAsia" w:ascii="方正仿宋_GBK" w:hAnsi="方正仿宋_GBK" w:eastAsia="方正仿宋_GBK" w:cs="方正仿宋_GBK"/>
          <w:color w:val="auto"/>
          <w:sz w:val="30"/>
          <w:szCs w:val="30"/>
          <w:highlight w:val="yellow"/>
          <w:lang w:eastAsia="zh-CN"/>
        </w:rPr>
        <w:t>地点，</w:t>
      </w:r>
      <w:r>
        <w:rPr>
          <w:rFonts w:hint="eastAsia" w:ascii="方正仿宋_GBK" w:hAnsi="方正仿宋_GBK" w:eastAsia="方正仿宋_GBK" w:cs="方正仿宋_GBK"/>
          <w:color w:val="auto"/>
          <w:sz w:val="30"/>
          <w:szCs w:val="30"/>
          <w:highlight w:val="yellow"/>
          <w:lang w:val="en-US" w:eastAsia="zh-CN"/>
        </w:rPr>
        <w:t>紧急情况下24小时配送，并</w:t>
      </w:r>
      <w:r>
        <w:rPr>
          <w:rFonts w:hint="eastAsia" w:ascii="方正仿宋_GBK" w:hAnsi="方正仿宋_GBK" w:eastAsia="方正仿宋_GBK" w:cs="方正仿宋_GBK"/>
          <w:color w:val="auto"/>
          <w:sz w:val="30"/>
          <w:szCs w:val="30"/>
          <w:highlight w:val="yellow"/>
          <w:lang w:eastAsia="zh-CN"/>
        </w:rPr>
        <w:t>配合采购人做好验收入库手续，所供每批产品必须出具送货清单及检验报告或</w:t>
      </w:r>
      <w:r>
        <w:rPr>
          <w:rFonts w:hint="eastAsia" w:ascii="方正仿宋_GBK" w:hAnsi="方正仿宋_GBK" w:eastAsia="方正仿宋_GBK" w:cs="方正仿宋_GBK"/>
          <w:color w:val="auto"/>
          <w:sz w:val="30"/>
          <w:szCs w:val="30"/>
          <w:highlight w:val="yellow"/>
          <w:lang w:val="en-US" w:eastAsia="zh-CN"/>
        </w:rPr>
        <w:t>冷链运输记录（如有温度要求的产品）</w:t>
      </w:r>
      <w:r>
        <w:rPr>
          <w:rFonts w:hint="eastAsia" w:ascii="方正仿宋_GBK" w:hAnsi="方正仿宋_GBK" w:eastAsia="方正仿宋_GBK" w:cs="方正仿宋_GBK"/>
          <w:color w:val="auto"/>
          <w:sz w:val="30"/>
          <w:szCs w:val="30"/>
          <w:highlight w:val="yellow"/>
          <w:lang w:eastAsia="zh-CN"/>
        </w:rPr>
        <w:t>，送货清单要求项目齐全，货单一致，并随货同行，否则不予以验收入库；验收合格入库之后开具正规发票（增值税普通发票），并承担配送所产生的一切费用。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5</w:t>
      </w:r>
      <w:r>
        <w:rPr>
          <w:rFonts w:hint="eastAsia" w:ascii="方正仿宋_GBK" w:hAnsi="方正仿宋_GBK" w:eastAsia="方正仿宋_GBK" w:cs="方正仿宋_GBK"/>
          <w:color w:val="auto"/>
          <w:sz w:val="30"/>
          <w:szCs w:val="30"/>
          <w:highlight w:val="yellow"/>
          <w:lang w:eastAsia="zh-CN"/>
        </w:rPr>
        <w:t>）</w:t>
      </w:r>
      <w:r>
        <w:rPr>
          <w:rFonts w:hint="eastAsia" w:ascii="方正仿宋_GBK" w:hAnsi="方正仿宋_GBK" w:eastAsia="方正仿宋_GBK" w:cs="方正仿宋_GBK"/>
          <w:color w:val="auto"/>
          <w:sz w:val="30"/>
          <w:szCs w:val="30"/>
          <w:highlight w:val="yellow"/>
          <w:lang w:val="en-US" w:eastAsia="zh-CN"/>
        </w:rPr>
        <w:t>合同期内，产品注册证或备案证以及产品授权书到期的，应在到期前30天将新的资料提供给采购人存档，过期未提交采购人有权终止合同的部分或全部内容。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yellow"/>
          <w:lang w:val="en-US" w:eastAsia="zh-CN"/>
        </w:rPr>
      </w:pPr>
      <w:r>
        <w:rPr>
          <w:rFonts w:hint="eastAsia" w:ascii="方正仿宋_GBK" w:hAnsi="方正仿宋_GBK" w:eastAsia="方正仿宋_GBK" w:cs="方正仿宋_GBK"/>
          <w:color w:val="auto"/>
          <w:sz w:val="30"/>
          <w:szCs w:val="30"/>
          <w:highlight w:val="yellow"/>
          <w:lang w:val="en-US" w:eastAsia="zh-CN"/>
        </w:rPr>
        <w:t>（6）国产耗材送货入院要求为一年内生产且剩余有效期不得少于总效期的2/3，进口耗材要求剩余有效期不得少于总效期的1/2，有效期内若出现破损、变质、发霉、异物等质量问题，投标人应无条件更换；有效期剩余30天内的产品，投标人应无条件免费更换。</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9.产品质量与安全要求</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yellow"/>
          <w:lang w:val="en-US" w:eastAsia="zh-CN"/>
        </w:rPr>
        <w:t>供应商产品在采购人发生产品不良事件，供应商应24小时来院协助调查，评估不良事件与产品有无直接关联，对可能影响患者安全的应及时停止使用，同一产品一年内发生2次类似不良事件必须停止使用。采购人将委托第三方机构对产品进行安全性评估或司法鉴定，费用由供应商承担，评估鉴定结果出来前停止使用该产品，待结果排除产品质量缺陷且完成整改后方能继续使用。产品不良事件造成患者损害，供应商应承担赔偿责任，由此引起的医疗纠纷事件，供应商应安排专人进行处理，如需对问题产品进行质量检测，供应商先行垫付鉴定费用（如供应商不垫付将优先使用履约保证金支付鉴定费），待鉴定结果依法依规处理。供应商产品在其他医疗机构发生不良事件应及时通知采购人进行防范预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（4）成交供应商提供的货物未达到招标文件规定要求，且对采购人造成损失的，由成交供应商承担一切责任，并赔偿所造成的损失。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（5）采购人需要制造商对成交供应商交付的产品（包括质量、技术参数等）进行确认的，制造商应予以配合，并出具书面意见。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）产品包装材料归采购人所有。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1000元,产品质量争议采购人有权要求供应商承担第三方对争议产品的司法鉴定检测费用;违反最低价成交价承诺（包括药交所最低成交价、重庆地区线上备案价、电商平台销售价），将承担违约金50000元，并按照最低成交价发生之日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或者产品未入库的；④合同有效期内，未经采购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（3）因供应商及其产品原因导致采购人损失的，应赔偿对采购人造成的直接和间接损失全额损失，因产品设计缺陷和质量问题造成患者损害应全额赔偿。</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00" w:firstLineChars="200"/>
        <w:rPr>
          <w:rFonts w:hint="eastAsia" w:ascii="方正仿宋_GBK" w:hAnsi="方正仿宋_GBK" w:eastAsia="方正仿宋_GBK" w:cs="方正仿宋_GBK"/>
          <w:color w:val="auto"/>
          <w:kern w:val="2"/>
          <w:sz w:val="30"/>
          <w:szCs w:val="30"/>
          <w:highlight w:val="none"/>
          <w:lang w:val="zh-TW" w:eastAsia="zh-CN" w:bidi="ar-SA"/>
        </w:rPr>
      </w:pPr>
      <w:r>
        <w:rPr>
          <w:rFonts w:hint="eastAsia" w:ascii="方正仿宋_GBK" w:hAnsi="方正仿宋_GBK" w:eastAsia="方正仿宋_GBK" w:cs="方正仿宋_GBK"/>
          <w:color w:val="auto"/>
          <w:kern w:val="2"/>
          <w:sz w:val="30"/>
          <w:szCs w:val="30"/>
          <w:highlight w:val="none"/>
          <w:lang w:val="en-US" w:eastAsia="zh-CN" w:bidi="ar-SA"/>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2"/>
          <w:sz w:val="30"/>
          <w:szCs w:val="30"/>
          <w:highlight w:val="none"/>
          <w:lang w:val="zh-TW" w:eastAsia="zh-TW" w:bidi="ar-SA"/>
        </w:rPr>
      </w:pPr>
      <w:r>
        <w:rPr>
          <w:rFonts w:hint="default" w:ascii="Calibri" w:hAnsi="Calibri" w:eastAsia="方正仿宋_GBK" w:cs="Calibri"/>
          <w:color w:val="auto"/>
          <w:kern w:val="2"/>
          <w:sz w:val="30"/>
          <w:szCs w:val="30"/>
          <w:highlight w:val="none"/>
          <w:lang w:val="zh-TW" w:eastAsia="zh-CN" w:bidi="ar-SA"/>
        </w:rPr>
        <w:t>③</w:t>
      </w:r>
      <w:r>
        <w:rPr>
          <w:rFonts w:hint="eastAsia" w:ascii="方正仿宋_GBK" w:hAnsi="方正仿宋_GBK" w:eastAsia="方正仿宋_GBK" w:cs="方正仿宋_GBK"/>
          <w:color w:val="auto"/>
          <w:kern w:val="2"/>
          <w:sz w:val="30"/>
          <w:szCs w:val="30"/>
          <w:highlight w:val="none"/>
          <w:lang w:val="zh-TW" w:eastAsia="zh-TW" w:bidi="ar-SA"/>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default" w:ascii="Calibri" w:hAnsi="Calibri" w:eastAsia="方正仿宋_GBK" w:cs="Calibri"/>
          <w:color w:val="auto"/>
          <w:kern w:val="2"/>
          <w:sz w:val="30"/>
          <w:szCs w:val="30"/>
          <w:highlight w:val="none"/>
          <w:lang w:val="zh-TW" w:eastAsia="zh-TW" w:bidi="ar-SA"/>
        </w:rPr>
        <w:t>④</w:t>
      </w:r>
      <w:r>
        <w:rPr>
          <w:rFonts w:hint="eastAsia" w:ascii="方正仿宋_GBK" w:hAnsi="方正仿宋_GBK" w:eastAsia="方正仿宋_GBK" w:cs="方正仿宋_GBK"/>
          <w:color w:val="auto"/>
          <w:kern w:val="2"/>
          <w:sz w:val="30"/>
          <w:szCs w:val="30"/>
          <w:highlight w:val="none"/>
          <w:lang w:val="zh-TW" w:eastAsia="zh-TW" w:bidi="ar-SA"/>
        </w:rPr>
        <w:t>法定代表人授权委托书</w:t>
      </w:r>
      <w:r>
        <w:rPr>
          <w:rFonts w:hint="eastAsia" w:ascii="方正仿宋_GBK" w:hAnsi="方正仿宋_GBK" w:eastAsia="方正仿宋_GBK" w:cs="方正仿宋_GBK"/>
          <w:color w:val="auto"/>
          <w:kern w:val="2"/>
          <w:sz w:val="30"/>
          <w:szCs w:val="30"/>
          <w:highlight w:val="none"/>
          <w:lang w:val="en-US" w:eastAsia="zh-CN" w:bidi="ar-SA"/>
        </w:rPr>
        <w:t>及被授权</w:t>
      </w:r>
      <w:r>
        <w:rPr>
          <w:rFonts w:hint="eastAsia" w:ascii="方正仿宋_GBK" w:hAnsi="方正仿宋_GBK" w:eastAsia="方正仿宋_GBK" w:cs="方正仿宋_GBK"/>
          <w:sz w:val="30"/>
          <w:szCs w:val="30"/>
          <w:highlight w:val="none"/>
          <w:lang w:val="en-US" w:eastAsia="zh-CN"/>
        </w:rPr>
        <w:t>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（2）供应商响应的每个产品应提供生产厂家至响应供应商的逐级授权和响应公司的资质（最迟在中选后5个工作日内补充提交，未在规定时间提交视为无效响应）。</w:t>
      </w:r>
    </w:p>
    <w:p>
      <w:pPr>
        <w:snapToGrid w:val="0"/>
        <w:spacing w:line="400" w:lineRule="exact"/>
        <w:ind w:firstLine="600" w:firstLineChars="200"/>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（3）投标报价表（签字并加盖企业公章）</w:t>
      </w:r>
      <w:r>
        <w:rPr>
          <w:rFonts w:hint="eastAsia" w:ascii="方正仿宋_GBK" w:hAnsi="方正仿宋_GBK" w:eastAsia="方正仿宋_GBK" w:cs="方正仿宋_GBK"/>
          <w:sz w:val="30"/>
          <w:szCs w:val="30"/>
          <w:highlight w:val="none"/>
        </w:rPr>
        <w:t>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（4）不得高于药交所最低成交价和线上备案采购此耗材最低价承诺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color w:val="auto"/>
          <w:sz w:val="30"/>
          <w:szCs w:val="30"/>
          <w:highlight w:val="none"/>
          <w:lang w:val="en-US" w:eastAsia="zh-CN"/>
        </w:rPr>
        <w:t>。（含所有产品及配件的规格、型号、生产厂家、品牌等）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（7）技术参数差异对照表（技术参数须提供佐证材料，如注册证、产品彩页、第三方检验检测报告）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（8）商务需求差异对照表。</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w:t>
      </w:r>
      <w:r>
        <w:rPr>
          <w:rFonts w:hint="eastAsia" w:ascii="方正仿宋_GBK" w:hAnsi="方正仿宋_GBK" w:eastAsia="方正仿宋_GBK" w:cs="方正仿宋_GBK"/>
          <w:sz w:val="30"/>
          <w:szCs w:val="30"/>
          <w:highlight w:val="none"/>
          <w:lang w:val="en-US" w:eastAsia="zh-CN"/>
        </w:rPr>
        <w:t>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放入同一档案袋进行密封</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yellow"/>
          <w:lang w:val="en-US" w:eastAsia="zh-CN"/>
        </w:rPr>
        <w:t>营业执照、产品注册证等图片等资料</w:t>
      </w:r>
      <w:r>
        <w:rPr>
          <w:rFonts w:hint="eastAsia" w:ascii="方正仿宋_GBK" w:hAnsi="方正仿宋_GBK" w:eastAsia="方正仿宋_GBK" w:cs="方正仿宋_GBK"/>
          <w:sz w:val="30"/>
          <w:szCs w:val="30"/>
          <w:highlight w:val="yellow"/>
          <w:lang w:eastAsia="zh-CN"/>
        </w:rPr>
        <w:t>必须满页呈现</w:t>
      </w:r>
      <w:r>
        <w:rPr>
          <w:rFonts w:hint="eastAsia" w:ascii="方正仿宋_GBK" w:hAnsi="方正仿宋_GBK" w:eastAsia="方正仿宋_GBK" w:cs="方正仿宋_GBK"/>
          <w:sz w:val="30"/>
          <w:szCs w:val="30"/>
          <w:highlight w:val="none"/>
          <w:lang w:eastAsia="zh-CN"/>
        </w:rPr>
        <w:t>，确保关键信息完整、清晰可辨。</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r>
        <w:rPr>
          <w:rFonts w:hint="eastAsia" w:ascii="方正仿宋_GBK" w:hAnsi="方正仿宋_GBK" w:eastAsia="方正仿宋_GBK" w:cs="方正仿宋_GBK"/>
          <w:sz w:val="30"/>
          <w:szCs w:val="30"/>
          <w:highlight w:val="yellow"/>
          <w:lang w:val="en-US" w:eastAsia="zh-CN"/>
        </w:rPr>
        <w:t>如允许供应商响应部分项目，供应商应在档案袋及响应文件的封面</w:t>
      </w:r>
      <w:r>
        <w:rPr>
          <w:rFonts w:hint="eastAsia" w:ascii="方正仿宋_GBK" w:hAnsi="方正仿宋_GBK" w:eastAsia="方正仿宋_GBK" w:cs="方正仿宋_GBK"/>
          <w:sz w:val="30"/>
          <w:szCs w:val="30"/>
          <w:highlight w:val="yellow"/>
        </w:rPr>
        <w:t>项目名称</w:t>
      </w:r>
      <w:r>
        <w:rPr>
          <w:rFonts w:hint="eastAsia" w:ascii="方正仿宋_GBK" w:hAnsi="方正仿宋_GBK" w:eastAsia="方正仿宋_GBK" w:cs="方正仿宋_GBK"/>
          <w:sz w:val="30"/>
          <w:szCs w:val="30"/>
          <w:highlight w:val="yellow"/>
          <w:lang w:val="en-US" w:eastAsia="zh-CN"/>
        </w:rPr>
        <w:t>后面用括号注明响应的具体产品名称。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128229278"/>
      <w:bookmarkStart w:id="3" w:name="_Toc128014287"/>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color w:val="auto"/>
          <w:kern w:val="0"/>
          <w:sz w:val="32"/>
          <w:szCs w:val="32"/>
          <w:u w:val="singl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并用下划线注明佐证材料位置；⑧不能完全满足商务要求的；⑨</w:t>
      </w:r>
      <w:r>
        <w:rPr>
          <w:rFonts w:hint="eastAsia" w:ascii="方正仿宋_GBK" w:hAnsi="方正仿宋_GBK" w:eastAsia="方正仿宋_GBK" w:cs="方正仿宋_GBK"/>
          <w:color w:val="auto"/>
          <w:kern w:val="0"/>
          <w:sz w:val="32"/>
          <w:szCs w:val="32"/>
          <w:highlight w:val="yellow"/>
          <w:u w:val="single"/>
          <w:lang w:val="en-US" w:eastAsia="zh-CN"/>
        </w:rPr>
        <w:t>供应商擅自在响应文件增加采购人需求以外的产品，一项采购需求对应一个响应品牌的产品，供应商对一项采购需求提供多个品牌产品进行响应的视为无效响应；</w:t>
      </w:r>
      <w:r>
        <w:rPr>
          <w:rFonts w:hint="eastAsia" w:ascii="微软雅黑" w:hAnsi="微软雅黑" w:eastAsia="微软雅黑" w:cs="微软雅黑"/>
          <w:color w:val="auto"/>
          <w:kern w:val="0"/>
          <w:sz w:val="32"/>
          <w:szCs w:val="32"/>
          <w:u w:val="single"/>
          <w:lang w:val="en-US" w:eastAsia="zh-CN"/>
        </w:rPr>
        <w:t>⑩</w:t>
      </w:r>
      <w:r>
        <w:rPr>
          <w:rFonts w:hint="eastAsia" w:ascii="方正仿宋_GBK" w:hAnsi="方正仿宋_GBK" w:eastAsia="方正仿宋_GBK" w:cs="方正仿宋_GBK"/>
          <w:color w:val="auto"/>
          <w:kern w:val="0"/>
          <w:sz w:val="32"/>
          <w:szCs w:val="32"/>
          <w:u w:val="single"/>
          <w:lang w:val="en-US" w:eastAsia="zh-CN"/>
        </w:rPr>
        <w:t>供应商响应文件内容有与国家现行法律法规相违背的内容，或附有采购人无法接受的条件；⑪营业执照、产品注册证等图片等资料必须满页呈现（至少占A4纸3/4页面），确保关键信息完整、清晰可辨；⑫供应商应在2个工作日内将采购响应文件全套电子档及本表格发到采购办邮箱，未在规定时间发送将取消中选资格。⑬供应商响应的每个产品应提供生产厂家至响应供应商的逐级授权和响应公司的资质（最迟在中选后5个工作日内补充提交，未在规定时间提交视为无效响应）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10、其他要求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val="0"/>
          <w:bCs w:val="0"/>
          <w:color w:val="auto"/>
          <w:kern w:val="0"/>
          <w:sz w:val="32"/>
          <w:szCs w:val="32"/>
          <w:highlight w:val="none"/>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pStyle w:val="3"/>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w:t>
      </w:r>
      <w:r>
        <w:rPr>
          <w:rFonts w:hint="eastAsia" w:ascii="仿宋_GB2312" w:hAnsi="宋体" w:eastAsia="仿宋_GB2312" w:cs="宋体"/>
          <w:color w:val="auto"/>
          <w:sz w:val="32"/>
          <w:szCs w:val="32"/>
          <w:lang w:val="en-US" w:eastAsia="zh-CN"/>
        </w:rPr>
        <w:t>供应商响应文件</w:t>
      </w:r>
      <w:r>
        <w:rPr>
          <w:rFonts w:hint="eastAsia" w:ascii="仿宋_GB2312" w:eastAsia="仿宋_GB2312" w:cs="宋体"/>
          <w:color w:val="auto"/>
          <w:sz w:val="32"/>
          <w:szCs w:val="32"/>
          <w:lang w:val="en-US" w:eastAsia="zh-CN"/>
        </w:rPr>
        <w:t>袋</w:t>
      </w:r>
      <w:r>
        <w:rPr>
          <w:rFonts w:hint="eastAsia" w:ascii="仿宋_GB2312" w:hAnsi="宋体" w:eastAsia="仿宋_GB2312" w:cs="宋体"/>
          <w:color w:val="auto"/>
          <w:sz w:val="32"/>
          <w:szCs w:val="32"/>
          <w:lang w:val="en-US" w:eastAsia="zh-CN"/>
        </w:rPr>
        <w:t>密封要求（</w:t>
      </w:r>
      <w:r>
        <w:rPr>
          <w:rFonts w:hint="eastAsia" w:ascii="仿宋_GB2312" w:eastAsia="仿宋_GB2312" w:cs="宋体"/>
          <w:color w:val="auto"/>
          <w:sz w:val="32"/>
          <w:szCs w:val="32"/>
          <w:lang w:val="en-US" w:eastAsia="zh-CN"/>
        </w:rPr>
        <w:t>正本一份、副本三份，装入一个密封档案袋中，如采购文件允许供应商响应部分产品，应在封面上注明响应产品具体名称）</w:t>
      </w:r>
    </w:p>
    <w:p>
      <w:pPr>
        <w:rPr>
          <w:rFonts w:hint="default"/>
          <w:lang w:val="en-US" w:eastAsia="zh-CN"/>
        </w:rPr>
      </w:pPr>
      <w:r>
        <w:rPr>
          <w:rFonts w:hint="default"/>
          <w:lang w:val="en-US" w:eastAsia="zh-CN"/>
        </w:rPr>
        <w:drawing>
          <wp:inline distT="0" distB="0" distL="114300" distR="114300">
            <wp:extent cx="2444115" cy="3191510"/>
            <wp:effectExtent l="0" t="0" r="13335" b="889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2444115" cy="3191510"/>
                    </a:xfrm>
                    <a:prstGeom prst="rect">
                      <a:avLst/>
                    </a:prstGeom>
                    <a:noFill/>
                    <a:ln>
                      <a:noFill/>
                    </a:ln>
                  </pic:spPr>
                </pic:pic>
              </a:graphicData>
            </a:graphic>
          </wp:inline>
        </w:drawing>
      </w:r>
      <w:r>
        <w:rPr>
          <w:rFonts w:hint="default"/>
          <w:lang w:val="en-US" w:eastAsia="zh-CN"/>
        </w:rPr>
        <w:drawing>
          <wp:inline distT="0" distB="0" distL="114300" distR="114300">
            <wp:extent cx="2493010" cy="3177540"/>
            <wp:effectExtent l="0" t="0" r="2540" b="381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2493010" cy="31775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3.供应商响应的每个产品应提供生产厂家至响应供应商的逐级授权和响应公司的资质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（最迟在中选后5个工作日内补充提交，未在规定时间提交视为无效响应）</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4.2分项报价表.....................................................................................</w:t>
      </w:r>
    </w:p>
    <w:p>
      <w:pPr>
        <w:jc w:val="both"/>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yellow"/>
          <w:lang w:val="en-US" w:eastAsia="zh-CN"/>
        </w:rPr>
        <w:t>不得高于药交所最低成交价和药交所备案最低价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7.每个投标产品药交所挂网截图和产品的注册证或备案证（资料清晰）....</w:t>
      </w:r>
    </w:p>
    <w:p>
      <w:pPr>
        <w:snapToGrid w:val="0"/>
        <w:spacing w:line="400" w:lineRule="exact"/>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8.技术参数差异对照表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kern w:val="2"/>
          <w:sz w:val="30"/>
          <w:szCs w:val="30"/>
          <w:highlight w:val="none"/>
          <w:lang w:val="en-US" w:eastAsia="zh-CN" w:bidi="ar-SA"/>
        </w:rPr>
        <w:t>..</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9.商务需求差异对照表</w:t>
      </w:r>
      <w:r>
        <w:rPr>
          <w:rFonts w:hint="eastAsia" w:ascii="方正仿宋_GBK" w:hAnsi="方正仿宋_GBK" w:eastAsia="方正仿宋_GBK" w:cs="方正仿宋_GBK"/>
          <w:color w:val="auto"/>
          <w:sz w:val="30"/>
          <w:szCs w:val="30"/>
          <w:highlight w:val="none"/>
          <w:lang w:val="en-US" w:eastAsia="zh-CN"/>
        </w:rPr>
        <w:t>.......................................</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11.其他单位采购合同等....................................................................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12.医用耗材合同信息表........................................................................</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13.投标廉政承诺书...................................................................</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资料（包括</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color w:val="auto"/>
          <w:sz w:val="30"/>
          <w:szCs w:val="30"/>
          <w:highlight w:val="none"/>
          <w:lang w:val="en-US" w:eastAsia="zh-CN"/>
        </w:rPr>
        <w:t>供应商响应的每个产品应提供生产厂家至响应供应商的逐级授权和每个公司的相应资质</w:t>
      </w:r>
      <w:r>
        <w:rPr>
          <w:rFonts w:hint="eastAsia" w:ascii="方正仿宋_GBK" w:hAnsi="方正仿宋_GBK" w:eastAsia="方正仿宋_GBK" w:cs="方正仿宋_GBK"/>
          <w:color w:val="auto"/>
          <w:sz w:val="30"/>
          <w:szCs w:val="30"/>
          <w:highlight w:val="yellow"/>
          <w:lang w:val="en-US" w:eastAsia="zh-CN"/>
        </w:rPr>
        <w:t>（最迟在中选后5个工作日内补充提交，未在规定时间前提交视为无效响应）</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投标报价表（包括总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和分项报价表，供应商法人</w:t>
      </w:r>
      <w:r>
        <w:rPr>
          <w:rFonts w:hint="eastAsia" w:ascii="方正仿宋_GBK" w:hAnsi="方正仿宋_GBK" w:eastAsia="方正仿宋_GBK" w:cs="方正仿宋_GBK"/>
          <w:sz w:val="30"/>
          <w:szCs w:val="30"/>
          <w:highlight w:val="none"/>
        </w:rPr>
        <w:t>签字并加盖企业公章）</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不得高于</w:t>
      </w:r>
      <w:r>
        <w:rPr>
          <w:rFonts w:hint="eastAsia" w:ascii="方正仿宋_GBK" w:hAnsi="方正仿宋_GBK" w:eastAsia="方正仿宋_GBK" w:cs="方正仿宋_GBK"/>
          <w:sz w:val="30"/>
          <w:szCs w:val="30"/>
          <w:highlight w:val="yellow"/>
          <w:lang w:val="en-US" w:eastAsia="zh-CN"/>
        </w:rPr>
        <w:t>药交所最低成交价和药交所备案最低价</w:t>
      </w:r>
      <w:r>
        <w:rPr>
          <w:rFonts w:hint="eastAsia" w:ascii="仿宋_GB2312" w:hAnsi="宋体" w:eastAsia="仿宋_GB2312" w:cs="宋体"/>
          <w:b w:val="0"/>
          <w:bCs w:val="0"/>
          <w:color w:val="auto"/>
          <w:sz w:val="28"/>
          <w:szCs w:val="21"/>
          <w:highlight w:val="yellow"/>
          <w:lang w:val="en-US" w:eastAsia="zh-CN"/>
        </w:rPr>
        <w:t>销售和保障供应承诺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提供每个产品的注册证或备案证，以及其在重庆市药交所产品信息查询截图，图片内容应清晰。</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技术参数差异对照表</w:t>
      </w:r>
      <w:r>
        <w:rPr>
          <w:rFonts w:hint="eastAsia" w:ascii="方正仿宋_GBK" w:hAnsi="方正仿宋_GBK" w:eastAsia="方正仿宋_GBK" w:cs="方正仿宋_GBK"/>
          <w:color w:val="auto"/>
          <w:sz w:val="30"/>
          <w:szCs w:val="30"/>
          <w:highlight w:val="none"/>
          <w:lang w:val="en-US" w:eastAsia="zh-CN"/>
        </w:rPr>
        <w:t>（技术参数须提供佐证材料，如注册证、产品彩页、第三方检验检测报告等）</w:t>
      </w:r>
      <w:r>
        <w:rPr>
          <w:rFonts w:hint="eastAsia" w:ascii="方正仿宋_GBK" w:hAnsi="方正仿宋_GBK" w:eastAsia="方正仿宋_GBK" w:cs="方正仿宋_GBK"/>
          <w:sz w:val="30"/>
          <w:szCs w:val="30"/>
          <w:highlight w:val="none"/>
          <w:lang w:val="en-US" w:eastAsia="zh-CN"/>
        </w:rPr>
        <w:t>。</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商务需求差异对照表</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售后服务承诺</w:t>
      </w:r>
    </w:p>
    <w:p>
      <w:pPr>
        <w:pageBreakBefore w:val="0"/>
        <w:numPr>
          <w:ilvl w:val="0"/>
          <w:numId w:val="2"/>
        </w:numPr>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十一、医用耗材合同信息表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十二、投标廉政承诺书</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75017342"/>
      <w:bookmarkStart w:id="7" w:name="_Toc156730450"/>
      <w:bookmarkStart w:id="8" w:name="_Toc128229302"/>
      <w:bookmarkStart w:id="9" w:name="_Toc166139912"/>
      <w:bookmarkStart w:id="10" w:name="_Toc128229745"/>
      <w:bookmarkStart w:id="11" w:name="_Toc156196559"/>
      <w:bookmarkStart w:id="12" w:name="_Toc156815770"/>
      <w:bookmarkStart w:id="13" w:name="_Toc128229916"/>
      <w:bookmarkStart w:id="14" w:name="_Toc173677397"/>
      <w:bookmarkStart w:id="15" w:name="_Toc15619647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56196471"/>
      <w:bookmarkStart w:id="17" w:name="_Toc156730451"/>
      <w:bookmarkStart w:id="18" w:name="_Toc128229303"/>
      <w:bookmarkStart w:id="19" w:name="_Toc128229746"/>
      <w:bookmarkStart w:id="20" w:name="_Toc166139913"/>
      <w:bookmarkStart w:id="21" w:name="_Toc156196560"/>
      <w:bookmarkStart w:id="22" w:name="_Toc166549449"/>
      <w:bookmarkStart w:id="23" w:name="_Toc173677398"/>
      <w:bookmarkStart w:id="24" w:name="_Toc156815771"/>
      <w:bookmarkStart w:id="25" w:name="_Toc175017343"/>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28229304"/>
      <w:bookmarkStart w:id="29" w:name="_Toc173677399"/>
      <w:bookmarkStart w:id="30" w:name="_Toc237057793"/>
      <w:bookmarkStart w:id="31" w:name="_Toc175017344"/>
      <w:bookmarkStart w:id="32" w:name="_Toc156196472"/>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产品</w:t>
            </w: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供应商响应产品的</w:t>
            </w: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720" w:firstLineChars="3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备</w:t>
      </w:r>
      <w:r>
        <w:rPr>
          <w:rFonts w:hint="eastAsia" w:ascii="微软雅黑" w:hAnsi="微软雅黑" w:eastAsia="微软雅黑" w:cs="微软雅黑"/>
          <w:sz w:val="24"/>
          <w:szCs w:val="24"/>
        </w:rPr>
        <w:t>注：</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本表可根据项目实际情况调整，并逐页盖章；</w:t>
      </w:r>
      <w:r>
        <w:rPr>
          <w:rFonts w:hint="eastAsia" w:ascii="微软雅黑" w:hAnsi="微软雅黑" w:eastAsia="微软雅黑" w:cs="微软雅黑"/>
          <w:sz w:val="24"/>
          <w:szCs w:val="24"/>
          <w:u w:val="single"/>
          <w:lang w:val="en-US" w:eastAsia="zh-CN"/>
        </w:rPr>
        <w:t>采购方式处选择”药交所线上采购集采“”药交所线上采购非集采“或”药交所线上备案采购“，否则视为无效响应</w:t>
      </w:r>
      <w:r>
        <w:rPr>
          <w:rFonts w:hint="eastAsia" w:ascii="微软雅黑" w:hAnsi="微软雅黑" w:eastAsia="微软雅黑" w:cs="微软雅黑"/>
          <w:sz w:val="24"/>
          <w:szCs w:val="24"/>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最低价销售和市场保供承诺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此次投标产品报价为重庆市药交所线上的最低成交价，线上备案价格为重庆市药交所线上备案的最低价，在采购周期内若药交所线上最低价或药剂所线上备案最低价降价，应在一周内主动向采购人申报并同步降价。</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2.在合同期内，提前预判市场供应情况并做好相应预案，稳定持续保障采购人的用量需求，特别是爆发公共卫生事件等紧急情况。承诺有效期与合同期限一致。</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eastAsia="宋体" w:cs="宋体"/>
                <w:color w:val="000000"/>
                <w:sz w:val="24"/>
                <w:szCs w:val="24"/>
                <w:lang w:eastAsia="zh-CN"/>
              </w:rPr>
            </w:pPr>
            <w:r>
              <w:rPr>
                <w:rFonts w:hint="eastAsia" w:ascii="宋体" w:hAnsi="宋体" w:cs="宋体"/>
                <w:color w:val="000000"/>
                <w:sz w:val="20"/>
                <w:szCs w:val="20"/>
                <w:lang w:val="zh-TW" w:eastAsia="zh-TW"/>
              </w:rPr>
              <w:t>佐证材料对应页码</w:t>
            </w:r>
            <w:r>
              <w:rPr>
                <w:rFonts w:hint="eastAsia" w:ascii="宋体" w:hAnsi="宋体" w:cs="宋体"/>
                <w:color w:val="000000"/>
                <w:sz w:val="20"/>
                <w:szCs w:val="20"/>
                <w:lang w:val="zh-TW" w:eastAsia="zh-CN"/>
              </w:rPr>
              <w:t>（</w:t>
            </w:r>
            <w:r>
              <w:rPr>
                <w:rFonts w:hint="eastAsia" w:ascii="宋体" w:hAnsi="宋体" w:cs="宋体"/>
                <w:color w:val="000000"/>
                <w:sz w:val="20"/>
                <w:szCs w:val="20"/>
                <w:lang w:val="en-US" w:eastAsia="zh-CN"/>
              </w:rPr>
              <w:t>明确在哪一页</w:t>
            </w:r>
            <w:r>
              <w:rPr>
                <w:rFonts w:hint="eastAsia" w:ascii="宋体" w:hAnsi="宋体" w:cs="宋体"/>
                <w:color w:val="000000"/>
                <w:sz w:val="20"/>
                <w:szCs w:val="20"/>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default" w:ascii="宋体" w:hAnsi="宋体" w:eastAsia="宋体" w:cs="宋体"/>
          <w:color w:val="000000"/>
          <w:sz w:val="24"/>
          <w:szCs w:val="28"/>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0"/>
          <w:highlight w:val="none"/>
        </w:rPr>
        <w:t>注：</w:t>
      </w:r>
      <w:r>
        <w:rPr>
          <w:rFonts w:hint="eastAsia" w:ascii="宋体" w:hAnsi="宋体" w:cs="宋体"/>
          <w:color w:val="000000"/>
          <w:sz w:val="24"/>
          <w:szCs w:val="24"/>
          <w:highlight w:val="none"/>
        </w:rPr>
        <w:t>1.本表即为对本项目“</w:t>
      </w:r>
      <w:r>
        <w:rPr>
          <w:rFonts w:hint="eastAsia" w:ascii="宋体" w:hAnsi="宋体" w:cs="宋体"/>
          <w:color w:val="000000"/>
          <w:sz w:val="24"/>
          <w:szCs w:val="24"/>
          <w:highlight w:val="none"/>
          <w:lang w:val="en-US" w:eastAsia="zh-CN"/>
        </w:rPr>
        <w:t>一、需求</w:t>
      </w:r>
      <w:r>
        <w:rPr>
          <w:rFonts w:hint="eastAsia" w:ascii="宋体" w:hAnsi="宋体" w:cs="宋体"/>
          <w:color w:val="000000"/>
          <w:sz w:val="24"/>
          <w:szCs w:val="24"/>
          <w:highlight w:val="none"/>
        </w:rPr>
        <w:t>项目</w:t>
      </w:r>
      <w:r>
        <w:rPr>
          <w:rFonts w:hint="eastAsia" w:ascii="宋体" w:hAnsi="宋体" w:cs="宋体"/>
          <w:color w:val="000000"/>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响应；2.本表可扩展，相关技术支撑材料应附本表后（格式自定）。3.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。4.偏离情况请填写“无偏离”、“正偏离”或“负偏离”。</w:t>
      </w: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lang w:val="en-US" w:eastAsia="zh-CN"/>
        </w:rPr>
        <w:t>响应情况处</w:t>
      </w:r>
      <w:r>
        <w:rPr>
          <w:rFonts w:hint="eastAsia" w:ascii="宋体" w:hAnsi="宋体" w:cs="宋体"/>
          <w:color w:val="000000"/>
          <w:sz w:val="24"/>
          <w:szCs w:val="24"/>
          <w:highlight w:val="none"/>
        </w:rPr>
        <w:t>请注明</w:t>
      </w:r>
      <w:r>
        <w:rPr>
          <w:rFonts w:hint="eastAsia" w:ascii="宋体" w:hAnsi="宋体" w:cs="宋体"/>
          <w:color w:val="000000"/>
          <w:sz w:val="24"/>
          <w:szCs w:val="24"/>
          <w:highlight w:val="none"/>
          <w:lang w:val="en-US" w:eastAsia="zh-CN"/>
        </w:rPr>
        <w:t>产品</w:t>
      </w:r>
      <w:r>
        <w:rPr>
          <w:rFonts w:hint="eastAsia" w:ascii="宋体" w:hAnsi="宋体" w:cs="宋体"/>
          <w:color w:val="000000"/>
          <w:sz w:val="24"/>
          <w:szCs w:val="24"/>
          <w:highlight w:val="none"/>
        </w:rPr>
        <w:t>自身技术参数或具体内容，不得照搬参数需求</w:t>
      </w:r>
      <w:r>
        <w:rPr>
          <w:rFonts w:hint="eastAsia" w:ascii="宋体" w:hAnsi="宋体" w:cs="宋体"/>
          <w:color w:val="000000"/>
          <w:sz w:val="24"/>
          <w:szCs w:val="24"/>
          <w:highlight w:val="none"/>
          <w:lang w:val="en-US" w:eastAsia="zh-CN"/>
        </w:rPr>
        <w:t>内容</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否则视为无效响应；</w:t>
      </w:r>
      <w:r>
        <w:rPr>
          <w:rFonts w:hint="eastAsia" w:ascii="宋体" w:hAnsi="宋体" w:cs="宋体"/>
          <w:color w:val="000000"/>
          <w:sz w:val="24"/>
          <w:szCs w:val="24"/>
          <w:highlight w:val="none"/>
          <w:u w:val="single"/>
          <w:lang w:val="zh-TW" w:eastAsia="zh-TW"/>
        </w:rPr>
        <w:t>佐证材料对应</w:t>
      </w:r>
      <w:r>
        <w:rPr>
          <w:rFonts w:hint="eastAsia" w:ascii="宋体" w:hAnsi="宋体" w:cs="宋体"/>
          <w:color w:val="000000"/>
          <w:sz w:val="24"/>
          <w:szCs w:val="24"/>
          <w:highlight w:val="none"/>
          <w:u w:val="single"/>
        </w:rPr>
        <w:t>竞选</w:t>
      </w:r>
      <w:r>
        <w:rPr>
          <w:rFonts w:hint="eastAsia" w:ascii="宋体" w:hAnsi="宋体" w:cs="宋体"/>
          <w:color w:val="000000"/>
          <w:sz w:val="24"/>
          <w:szCs w:val="24"/>
          <w:highlight w:val="none"/>
          <w:u w:val="single"/>
          <w:lang w:val="zh-TW" w:eastAsia="zh-TW"/>
        </w:rPr>
        <w:t>文件页码</w:t>
      </w:r>
      <w:r>
        <w:rPr>
          <w:rFonts w:hint="eastAsia" w:ascii="宋体" w:hAnsi="宋体" w:cs="宋体"/>
          <w:color w:val="000000"/>
          <w:sz w:val="24"/>
          <w:szCs w:val="24"/>
          <w:highlight w:val="none"/>
          <w:u w:val="single"/>
          <w:lang w:val="en-US" w:eastAsia="zh-CN"/>
        </w:rPr>
        <w:t>处对应页码的对应位置应用下划线标注出来</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8"/>
          <w:highlight w:val="none"/>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响应情况（写明具体响应内容，否则视为无效响应）</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snapToGrid w:val="0"/>
              <w:spacing w:line="500" w:lineRule="exact"/>
              <w:jc w:val="center"/>
              <w:rPr>
                <w:rFonts w:hint="default" w:ascii="宋体" w:hAnsi="宋体" w:eastAsia="宋体" w:cs="宋体"/>
                <w:color w:val="000000"/>
                <w:sz w:val="21"/>
                <w:szCs w:val="21"/>
                <w:lang w:val="en-US" w:eastAsia="zh-CN"/>
              </w:rPr>
            </w:pPr>
            <w:r>
              <w:rPr>
                <w:rFonts w:hint="eastAsia" w:ascii="方正仿宋_GBK" w:hAnsi="方正仿宋_GBK" w:eastAsia="方正仿宋_GBK" w:cs="方正仿宋_GBK"/>
                <w:b/>
                <w:sz w:val="30"/>
                <w:szCs w:val="30"/>
                <w:highlight w:val="none"/>
                <w:lang w:val="en-US" w:eastAsia="zh-CN"/>
              </w:rPr>
              <w:t>供应商</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kern w:val="2"/>
                <w:sz w:val="30"/>
                <w:szCs w:val="30"/>
                <w:highlight w:val="none"/>
                <w:lang w:val="en-US" w:eastAsia="zh-CN" w:bidi="ar-SA"/>
              </w:rPr>
              <w:t>投标保证金及管理要求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履约保证金及管理要求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交货地点</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6</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付款方式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7</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kern w:val="0"/>
                <w:sz w:val="30"/>
                <w:szCs w:val="30"/>
                <w:highlight w:val="none"/>
                <w:lang w:val="en-US" w:eastAsia="zh-CN"/>
              </w:rPr>
              <w:t>联合体投标</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8</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lang w:val="en-US" w:eastAsia="zh-CN"/>
              </w:rPr>
              <w:t>合同管理及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9</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产品质量与安全要求</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10</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sz w:val="30"/>
                <w:szCs w:val="30"/>
                <w:highlight w:val="none"/>
              </w:rPr>
              <w:t>验收方式</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11</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eastAsia="zh-CN"/>
              </w:rPr>
              <w:t>售后服务</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12</w:t>
            </w:r>
          </w:p>
        </w:tc>
        <w:tc>
          <w:tcPr>
            <w:tcW w:w="2393" w:type="dxa"/>
            <w:noWrap w:val="0"/>
            <w:vAlign w:val="center"/>
          </w:tcPr>
          <w:p>
            <w:pPr>
              <w:snapToGrid w:val="0"/>
              <w:spacing w:line="500" w:lineRule="exact"/>
              <w:jc w:val="center"/>
              <w:rPr>
                <w:rFonts w:hint="eastAsia" w:ascii="宋体" w:hAnsi="宋体" w:cs="宋体"/>
                <w:color w:val="000000"/>
                <w:sz w:val="21"/>
                <w:szCs w:val="21"/>
              </w:rPr>
            </w:pPr>
            <w:r>
              <w:rPr>
                <w:rFonts w:hint="eastAsia" w:ascii="方正仿宋_GBK" w:hAnsi="方正仿宋_GBK" w:eastAsia="方正仿宋_GBK" w:cs="方正仿宋_GBK"/>
                <w:b/>
                <w:bCs/>
                <w:color w:val="auto"/>
                <w:sz w:val="30"/>
                <w:szCs w:val="30"/>
                <w:highlight w:val="none"/>
                <w:lang w:val="en-US" w:eastAsia="zh-CN"/>
              </w:rPr>
              <w:t>违约责任</w:t>
            </w: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8"/>
          <w:highlight w:val="none"/>
          <w:lang w:val="en-US" w:eastAsia="zh-CN"/>
        </w:rPr>
        <w:t>5.</w:t>
      </w:r>
      <w:r>
        <w:rPr>
          <w:rFonts w:hint="eastAsia" w:ascii="宋体" w:hAnsi="宋体" w:cs="宋体"/>
          <w:color w:val="000000"/>
          <w:sz w:val="24"/>
          <w:szCs w:val="24"/>
          <w:highlight w:val="none"/>
        </w:rPr>
        <w:t>提醒：</w:t>
      </w:r>
      <w:r>
        <w:rPr>
          <w:rFonts w:hint="eastAsia" w:ascii="宋体" w:hAnsi="宋体" w:cs="宋体"/>
          <w:color w:val="000000"/>
          <w:sz w:val="24"/>
          <w:szCs w:val="24"/>
          <w:highlight w:val="none"/>
          <w:u w:val="single"/>
          <w:lang w:val="en-US" w:eastAsia="zh-CN"/>
        </w:rPr>
        <w:t>响应情况处</w:t>
      </w:r>
      <w:r>
        <w:rPr>
          <w:rFonts w:hint="eastAsia" w:ascii="宋体" w:hAnsi="宋体" w:cs="宋体"/>
          <w:color w:val="000000"/>
          <w:sz w:val="24"/>
          <w:szCs w:val="24"/>
          <w:highlight w:val="none"/>
          <w:u w:val="single"/>
        </w:rPr>
        <w:t>请注明具体内容，不得照搬</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需求</w:t>
      </w:r>
      <w:r>
        <w:rPr>
          <w:rFonts w:hint="eastAsia" w:ascii="宋体" w:hAnsi="宋体" w:cs="宋体"/>
          <w:color w:val="000000"/>
          <w:sz w:val="24"/>
          <w:szCs w:val="24"/>
          <w:highlight w:val="none"/>
          <w:u w:val="single"/>
          <w:lang w:val="en-US" w:eastAsia="zh-CN"/>
        </w:rPr>
        <w:t>内容</w:t>
      </w:r>
      <w:r>
        <w:rPr>
          <w:rFonts w:hint="eastAsia" w:ascii="宋体" w:hAnsi="宋体" w:cs="宋体"/>
          <w:color w:val="000000"/>
          <w:sz w:val="24"/>
          <w:szCs w:val="24"/>
          <w:highlight w:val="none"/>
          <w:u w:val="single"/>
          <w:lang w:eastAsia="zh-CN"/>
        </w:rPr>
        <w:t>，</w:t>
      </w:r>
      <w:r>
        <w:rPr>
          <w:rFonts w:hint="eastAsia" w:ascii="宋体" w:hAnsi="宋体" w:cs="宋体"/>
          <w:color w:val="000000"/>
          <w:sz w:val="24"/>
          <w:szCs w:val="24"/>
          <w:highlight w:val="none"/>
          <w:u w:val="single"/>
          <w:lang w:val="en-US" w:eastAsia="zh-CN"/>
        </w:rPr>
        <w:t>否则视为无效响应</w:t>
      </w:r>
      <w:r>
        <w:rPr>
          <w:rFonts w:hint="eastAsia" w:ascii="宋体" w:hAnsi="宋体" w:cs="宋体"/>
          <w:color w:val="000000"/>
          <w:sz w:val="24"/>
          <w:szCs w:val="24"/>
          <w:highlight w:val="none"/>
          <w:lang w:val="en-US" w:eastAsia="zh-CN"/>
        </w:rPr>
        <w:t>；</w:t>
      </w:r>
      <w:r>
        <w:rPr>
          <w:rFonts w:hint="eastAsia" w:ascii="宋体" w:hAnsi="宋体" w:cs="宋体"/>
          <w:color w:val="000000"/>
          <w:sz w:val="24"/>
          <w:szCs w:val="28"/>
          <w:highlight w:val="none"/>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widowControl/>
        <w:jc w:val="center"/>
        <w:rPr>
          <w:rFonts w:ascii="宋体" w:hAnsi="宋体" w:cs="宋体"/>
          <w:b/>
          <w:bCs/>
          <w:kern w:val="0"/>
          <w:sz w:val="32"/>
          <w:szCs w:val="32"/>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9598"/>
              <w:placeholder>
                <w:docPart w:val="{d4811ab9-06e2-41c6-b234-c6c0b6d7c891}"/>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82773"/>
              <w:placeholder>
                <w:docPart w:val="{37bf130f-1e0d-4ef7-b92d-d7b2440ce7d7}"/>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8109"/>
              <w:placeholder>
                <w:docPart w:val="{50ca05bf-2cc7-4767-a77f-88a3589da66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547"/>
              <w:placeholder>
                <w:docPart w:val="{1edc55a6-4667-48af-bd6f-3f7b818689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2113"/>
              <w:placeholder>
                <w:docPart w:val="{97ccdd6e-a0dc-44e3-80e2-e83d9e1bc64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9919"/>
              <w:placeholder>
                <w:docPart w:val="{c1f70b9a-ab58-43cf-b6a6-e555805f918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336"/>
              <w:placeholder>
                <w:docPart w:val="{974c49d0-1097-44b4-9bae-dcac94fb654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结果公告后，</w:t>
      </w:r>
      <w:r>
        <w:rPr>
          <w:rFonts w:hint="eastAsia" w:ascii="宋体" w:hAnsi="宋体"/>
          <w:b w:val="0"/>
          <w:bCs/>
          <w:color w:val="000000"/>
          <w:sz w:val="28"/>
          <w:szCs w:val="28"/>
          <w:highlight w:val="yellow"/>
          <w:lang w:val="en-US" w:eastAsia="zh-CN"/>
        </w:rPr>
        <w:t>供应商应在2个工作日内将采购响应文件全套电子档及本表格发到采购办邮箱，未在规定时间发送将取消中选资格。</w:t>
      </w:r>
    </w:p>
    <w:p>
      <w:pPr>
        <w:tabs>
          <w:tab w:val="left" w:pos="6300"/>
        </w:tabs>
        <w:adjustRightInd w:val="0"/>
        <w:snapToGrid w:val="0"/>
        <w:spacing w:line="360" w:lineRule="auto"/>
        <w:rPr>
          <w:rFonts w:ascii="仿宋" w:hAnsi="仿宋" w:eastAsia="仿宋"/>
          <w:b/>
          <w:snapToGrid w:val="0"/>
          <w:color w:val="auto"/>
          <w:kern w:val="0"/>
          <w:sz w:val="28"/>
          <w:szCs w:val="28"/>
        </w:rPr>
      </w:pP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Times New Roman"/>
          <w:kern w:val="2"/>
          <w:sz w:val="24"/>
          <w:szCs w:val="22"/>
          <w:lang w:val="en-US" w:eastAsia="zh-CN" w:bidi="ar-SA"/>
        </w:rPr>
        <w:t xml:space="preserve">                年   月   日</w:t>
      </w:r>
    </w:p>
    <w:p>
      <w:pPr>
        <w:adjustRightInd w:val="0"/>
        <w:snapToGrid w:val="0"/>
        <w:spacing w:line="360" w:lineRule="auto"/>
        <w:jc w:val="left"/>
      </w:pPr>
      <w:r>
        <w:rPr>
          <w:rFonts w:hint="eastAsia" w:ascii="仿宋_GB2312" w:hAnsi="宋体" w:eastAsia="仿宋_GB2312" w:cs="Times New Roman"/>
          <w:b/>
          <w:bCs/>
          <w:kern w:val="2"/>
          <w:sz w:val="40"/>
          <w:szCs w:val="36"/>
          <w:lang w:val="en-US" w:eastAsia="zh-CN" w:bidi="ar-SA"/>
        </w:rPr>
        <w:t>温馨提醒：请供应商在投递响应文件前，逐项核对检查文件内容是否属于采购人列明的14项无效响应范围，避免因供应商无效响应导致采购人招采时间延后。</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1B8396"/>
    <w:multiLevelType w:val="singleLevel"/>
    <w:tmpl w:val="2D1B8396"/>
    <w:lvl w:ilvl="0" w:tentative="0">
      <w:start w:val="1"/>
      <w:numFmt w:val="decimal"/>
      <w:suff w:val="nothing"/>
      <w:lvlText w:val="%1、"/>
      <w:lvlJc w:val="left"/>
    </w:lvl>
  </w:abstractNum>
  <w:abstractNum w:abstractNumId="1">
    <w:nsid w:val="64742B5A"/>
    <w:multiLevelType w:val="singleLevel"/>
    <w:tmpl w:val="64742B5A"/>
    <w:lvl w:ilvl="0" w:tentative="0">
      <w:start w:val="1"/>
      <w:numFmt w:val="chineseCounting"/>
      <w:suff w:val="nothing"/>
      <w:lvlText w:val="%1、"/>
      <w:lvlJc w:val="left"/>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2740C51"/>
    <w:rsid w:val="03177D0D"/>
    <w:rsid w:val="03214205"/>
    <w:rsid w:val="038E466A"/>
    <w:rsid w:val="03D451A1"/>
    <w:rsid w:val="04314362"/>
    <w:rsid w:val="045301F6"/>
    <w:rsid w:val="045A10E2"/>
    <w:rsid w:val="054A568F"/>
    <w:rsid w:val="05A1651B"/>
    <w:rsid w:val="07043A2A"/>
    <w:rsid w:val="078057A6"/>
    <w:rsid w:val="07BF7925"/>
    <w:rsid w:val="08183C31"/>
    <w:rsid w:val="08305016"/>
    <w:rsid w:val="08FF0CA0"/>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8EF3F80"/>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9F6565"/>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E1695B"/>
    <w:rsid w:val="55FA2D84"/>
    <w:rsid w:val="56703AD1"/>
    <w:rsid w:val="56CB70C2"/>
    <w:rsid w:val="56F37624"/>
    <w:rsid w:val="572F0FEC"/>
    <w:rsid w:val="57DB33E3"/>
    <w:rsid w:val="587E3D63"/>
    <w:rsid w:val="588C4742"/>
    <w:rsid w:val="59565560"/>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B609F1"/>
    <w:rsid w:val="74E26423"/>
    <w:rsid w:val="75AD2D57"/>
    <w:rsid w:val="76383848"/>
    <w:rsid w:val="76CA13F7"/>
    <w:rsid w:val="774166A2"/>
    <w:rsid w:val="775F23E8"/>
    <w:rsid w:val="78C334AB"/>
    <w:rsid w:val="7907664D"/>
    <w:rsid w:val="79A445DE"/>
    <w:rsid w:val="7A4128DE"/>
    <w:rsid w:val="7A5D40AB"/>
    <w:rsid w:val="7B2C0FDB"/>
    <w:rsid w:val="7C0E3895"/>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4811ab9-06e2-41c6-b234-c6c0b6d7c891}"/>
        <w:style w:val=""/>
        <w:category>
          <w:name w:val="常规"/>
          <w:gallery w:val="placeholder"/>
        </w:category>
        <w:types>
          <w:type w:val="bbPlcHdr"/>
        </w:types>
        <w:behaviors>
          <w:behavior w:val="content"/>
        </w:behaviors>
        <w:description w:val=""/>
        <w:guid w:val="{d4811ab9-06e2-41c6-b234-c6c0b6d7c891}"/>
      </w:docPartPr>
      <w:docPartBody>
        <w:p>
          <w:r>
            <w:rPr>
              <w:color w:val="808080"/>
            </w:rPr>
            <w:t>选择一项。</w:t>
          </w:r>
        </w:p>
      </w:docPartBody>
    </w:docPart>
    <w:docPart>
      <w:docPartPr>
        <w:name w:val="{37bf130f-1e0d-4ef7-b92d-d7b2440ce7d7}"/>
        <w:style w:val=""/>
        <w:category>
          <w:name w:val="常规"/>
          <w:gallery w:val="placeholder"/>
        </w:category>
        <w:types>
          <w:type w:val="bbPlcHdr"/>
        </w:types>
        <w:behaviors>
          <w:behavior w:val="content"/>
        </w:behaviors>
        <w:description w:val=""/>
        <w:guid w:val="{37bf130f-1e0d-4ef7-b92d-d7b2440ce7d7}"/>
      </w:docPartPr>
      <w:docPartBody>
        <w:p>
          <w:r>
            <w:rPr>
              <w:color w:val="808080"/>
            </w:rPr>
            <w:t>选择一项。</w:t>
          </w:r>
        </w:p>
      </w:docPartBody>
    </w:docPart>
    <w:docPart>
      <w:docPartPr>
        <w:name w:val="{50ca05bf-2cc7-4767-a77f-88a3589da662}"/>
        <w:style w:val=""/>
        <w:category>
          <w:name w:val="常规"/>
          <w:gallery w:val="placeholder"/>
        </w:category>
        <w:types>
          <w:type w:val="bbPlcHdr"/>
        </w:types>
        <w:behaviors>
          <w:behavior w:val="content"/>
        </w:behaviors>
        <w:description w:val=""/>
        <w:guid w:val="{50ca05bf-2cc7-4767-a77f-88a3589da662}"/>
      </w:docPartPr>
      <w:docPartBody>
        <w:p>
          <w:r>
            <w:rPr>
              <w:color w:val="808080"/>
            </w:rPr>
            <w:t>选择一项。</w:t>
          </w:r>
        </w:p>
      </w:docPartBody>
    </w:docPart>
    <w:docPart>
      <w:docPartPr>
        <w:name w:val="{1edc55a6-4667-48af-bd6f-3f7b81868934}"/>
        <w:style w:val=""/>
        <w:category>
          <w:name w:val="常规"/>
          <w:gallery w:val="placeholder"/>
        </w:category>
        <w:types>
          <w:type w:val="bbPlcHdr"/>
        </w:types>
        <w:behaviors>
          <w:behavior w:val="content"/>
        </w:behaviors>
        <w:description w:val=""/>
        <w:guid w:val="{1edc55a6-4667-48af-bd6f-3f7b81868934}"/>
      </w:docPartPr>
      <w:docPartBody>
        <w:p>
          <w:r>
            <w:rPr>
              <w:color w:val="808080"/>
            </w:rPr>
            <w:t>选择一项。</w:t>
          </w:r>
        </w:p>
      </w:docPartBody>
    </w:docPart>
    <w:docPart>
      <w:docPartPr>
        <w:name w:val="{97ccdd6e-a0dc-44e3-80e2-e83d9e1bc64b}"/>
        <w:style w:val=""/>
        <w:category>
          <w:name w:val="常规"/>
          <w:gallery w:val="placeholder"/>
        </w:category>
        <w:types>
          <w:type w:val="bbPlcHdr"/>
        </w:types>
        <w:behaviors>
          <w:behavior w:val="content"/>
        </w:behaviors>
        <w:description w:val=""/>
        <w:guid w:val="{97ccdd6e-a0dc-44e3-80e2-e83d9e1bc64b}"/>
      </w:docPartPr>
      <w:docPartBody>
        <w:p>
          <w:r>
            <w:rPr>
              <w:color w:val="808080"/>
            </w:rPr>
            <w:t>选择一项。</w:t>
          </w:r>
        </w:p>
      </w:docPartBody>
    </w:docPart>
    <w:docPart>
      <w:docPartPr>
        <w:name w:val="{c1f70b9a-ab58-43cf-b6a6-e555805f9189}"/>
        <w:style w:val=""/>
        <w:category>
          <w:name w:val="常规"/>
          <w:gallery w:val="placeholder"/>
        </w:category>
        <w:types>
          <w:type w:val="bbPlcHdr"/>
        </w:types>
        <w:behaviors>
          <w:behavior w:val="content"/>
        </w:behaviors>
        <w:description w:val=""/>
        <w:guid w:val="{c1f70b9a-ab58-43cf-b6a6-e555805f9189}"/>
      </w:docPartPr>
      <w:docPartBody>
        <w:p>
          <w:r>
            <w:rPr>
              <w:color w:val="808080"/>
            </w:rPr>
            <w:t>选择一项。</w:t>
          </w:r>
        </w:p>
      </w:docPartBody>
    </w:docPart>
    <w:docPart>
      <w:docPartPr>
        <w:name w:val="{974c49d0-1097-44b4-9bae-dcac94fb654c}"/>
        <w:style w:val=""/>
        <w:category>
          <w:name w:val="常规"/>
          <w:gallery w:val="placeholder"/>
        </w:category>
        <w:types>
          <w:type w:val="bbPlcHdr"/>
        </w:types>
        <w:behaviors>
          <w:behavior w:val="content"/>
        </w:behaviors>
        <w:description w:val=""/>
        <w:guid w:val="{974c49d0-1097-44b4-9bae-dcac94fb654c}"/>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7640</Words>
  <Characters>7791</Characters>
  <Lines>202</Lines>
  <Paragraphs>243</Paragraphs>
  <TotalTime>6</TotalTime>
  <ScaleCrop>false</ScaleCrop>
  <LinksUpToDate>false</LinksUpToDate>
  <CharactersWithSpaces>7802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2026-04-14T07:27:20Z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