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项目名称：一次性使用麻醉穿刺套件等（第</w:t>
      </w:r>
      <w:r>
        <w:rPr>
          <w:rFonts w:hint="eastAsia" w:ascii="宋体" w:hAnsi="宋体" w:cs="Times New Roman"/>
          <w:kern w:val="2"/>
          <w:sz w:val="32"/>
          <w:szCs w:val="32"/>
          <w:lang w:val="en-US" w:eastAsia="zh-CN" w:bidi="ar-SA"/>
        </w:rPr>
        <w:t>四</w:t>
      </w:r>
      <w:r>
        <w:rPr>
          <w:rFonts w:hint="eastAsia" w:ascii="宋体" w:hAnsi="宋体" w:eastAsia="宋体" w:cs="Times New Roman"/>
          <w:kern w:val="2"/>
          <w:sz w:val="32"/>
          <w:szCs w:val="32"/>
          <w:lang w:val="en-US" w:eastAsia="zh-CN" w:bidi="ar-SA"/>
        </w:rPr>
        <w:t>次）</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03018</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092"/>
        <w:gridCol w:w="2370"/>
        <w:gridCol w:w="1200"/>
        <w:gridCol w:w="2180"/>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23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麻醉科</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一次性使用麻醉穿刺套件</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p>
        </w:tc>
        <w:tc>
          <w:tcPr>
            <w:tcW w:w="23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硬膜外穿刺针：主要材质要求奥氏体不锈钢</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麻醉导管：主要材质要求PA</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空气过滤器、无菌注射器主要材质要求：ABS及PP</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麻醉穿刺针符合YY0321.2-2009标准</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硬膜外神经阻滞麻醉、分娩镇痛、术后镇痛</w:t>
            </w:r>
          </w:p>
        </w:tc>
        <w:tc>
          <w:tcPr>
            <w:tcW w:w="2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硬膜外穿刺针（1支）</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腰椎穿刺针（1支）</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药液过滤器（1个）</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麻醉导管+接头（1套）</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选用配置包括：空气过滤器、一次性使用无菌注射器20ML、一次性使用低阻力注射器5ML、医用手套、消毒刷、纱布、洞巾、导管固定垫、托盘等。</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3680套</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lang w:val="en-US" w:eastAsia="zh-CN"/>
              </w:rPr>
            </w:pPr>
            <w:r>
              <w:rPr>
                <w:rFonts w:hint="eastAsia"/>
                <w:lang w:val="en-US" w:eastAsia="zh-CN"/>
              </w:rPr>
              <w:t>45</w:t>
            </w:r>
            <w:r>
              <w:rPr>
                <w:rFonts w:hint="eastAsia" w:ascii="宋体" w:hAnsi="宋体" w:cs="宋体"/>
                <w:i w:val="0"/>
                <w:iCs w:val="0"/>
                <w:color w:val="000000"/>
                <w:kern w:val="0"/>
                <w:sz w:val="21"/>
                <w:szCs w:val="21"/>
                <w:u w:val="none"/>
                <w:lang w:val="en-US" w:eastAsia="zh-CN" w:bidi="ar"/>
              </w:rPr>
              <w:t>元/套</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麻醉科</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医用免充气喉罩</w:t>
            </w:r>
          </w:p>
        </w:tc>
        <w:tc>
          <w:tcPr>
            <w:tcW w:w="23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 硅胶材质 无刺激 </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2内置刻度标记，不脱落，方便医护人员观察。</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 插入深度指示线设计更易判断置入深度，指示线上部标注有规格和重量指引，方便选用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4：插入时最小齿间间隔20mm </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5型号齐全需包含1.0#1.5#2.0#2.5#3.0#3.5#4.0#4.5#5.0# 6:喉罩的各连接处应能承受15N的静态轴向拉力，持续15S不得松动或脱开。</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供全麻或心肺人工复苏建立短期人工气道用</w:t>
            </w:r>
          </w:p>
        </w:tc>
        <w:tc>
          <w:tcPr>
            <w:tcW w:w="2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单腔免充气型：由喉罩部、管体接头组成。双腔免充气型：结构及组成由喉罩部、引流管、通气管、接头组成。</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2000</w:t>
            </w:r>
            <w:r>
              <w:rPr>
                <w:rFonts w:hint="eastAsia" w:ascii="宋体" w:hAnsi="宋体" w:cs="宋体"/>
                <w:i w:val="0"/>
                <w:iCs w:val="0"/>
                <w:color w:val="000000"/>
                <w:kern w:val="0"/>
                <w:sz w:val="21"/>
                <w:szCs w:val="21"/>
                <w:u w:val="none"/>
                <w:lang w:val="en-US" w:eastAsia="zh-CN" w:bidi="ar"/>
              </w:rPr>
              <w:t>套</w:t>
            </w:r>
          </w:p>
        </w:tc>
        <w:tc>
          <w:tcPr>
            <w:tcW w:w="92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288</w:t>
            </w:r>
            <w:r>
              <w:rPr>
                <w:rFonts w:hint="eastAsia" w:ascii="宋体" w:hAnsi="宋体" w:cs="宋体"/>
                <w:i w:val="0"/>
                <w:iCs w:val="0"/>
                <w:color w:val="000000"/>
                <w:kern w:val="0"/>
                <w:sz w:val="21"/>
                <w:szCs w:val="21"/>
                <w:u w:val="none"/>
                <w:lang w:val="en-US" w:eastAsia="zh-CN" w:bidi="ar"/>
              </w:rPr>
              <w:t>元/套</w:t>
            </w:r>
          </w:p>
        </w:tc>
        <w:tc>
          <w:tcPr>
            <w:tcW w:w="874" w:type="dxa"/>
            <w:shd w:val="clear" w:color="auto" w:fill="auto"/>
            <w:vAlign w:val="center"/>
          </w:tcPr>
          <w:p>
            <w:pPr>
              <w:keepNext w:val="0"/>
              <w:keepLines w:val="0"/>
              <w:widowControl/>
              <w:suppressLineNumbers w:val="0"/>
              <w:jc w:val="left"/>
              <w:textAlignment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放射科</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一次性使用高压造影注射器及附件</w:t>
            </w:r>
          </w:p>
        </w:tc>
        <w:tc>
          <w:tcPr>
            <w:tcW w:w="23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CM200ml-200m</w:t>
            </w:r>
            <w:r>
              <w:rPr>
                <w:rFonts w:hint="eastAsia" w:ascii="宋体" w:hAnsi="宋体" w:cs="宋体"/>
                <w:i w:val="0"/>
                <w:iCs w:val="0"/>
                <w:color w:val="000000"/>
                <w:kern w:val="0"/>
                <w:sz w:val="21"/>
                <w:szCs w:val="21"/>
                <w:u w:val="none"/>
                <w:lang w:val="en-US" w:eastAsia="zh-CN" w:bidi="ar"/>
              </w:rPr>
              <w:t>l</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用于增强检查造影剂推注</w:t>
            </w:r>
          </w:p>
        </w:tc>
        <w:tc>
          <w:tcPr>
            <w:tcW w:w="2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针筒、连接管</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6000套</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100元/套</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与高压注射器配套使用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放射科</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一次性使用高压造影注射器及附件</w:t>
            </w:r>
          </w:p>
        </w:tc>
        <w:tc>
          <w:tcPr>
            <w:tcW w:w="23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CM200ml</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用于增强检查造影剂推注</w:t>
            </w:r>
          </w:p>
        </w:tc>
        <w:tc>
          <w:tcPr>
            <w:tcW w:w="2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针筒、连接管</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6000套</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58元/套</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与高压注射器配套使用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110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备注：年预估用量并非采购量承诺，以实际用量据实结算。</w:t>
            </w:r>
          </w:p>
        </w:tc>
      </w:tr>
    </w:tbl>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bookmarkStart w:id="34" w:name="_GoBack"/>
      <w:bookmarkEnd w:id="34"/>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28014287"/>
      <w:bookmarkStart w:id="2" w:name="_Toc128229278"/>
      <w:bookmarkStart w:id="3" w:name="_Toc156196446"/>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559"/>
      <w:bookmarkStart w:id="6" w:name="_Toc166549448"/>
      <w:bookmarkStart w:id="7" w:name="_Toc156196470"/>
      <w:bookmarkStart w:id="8" w:name="_Toc128229745"/>
      <w:bookmarkStart w:id="9" w:name="_Toc156815770"/>
      <w:bookmarkStart w:id="10" w:name="_Toc128229302"/>
      <w:bookmarkStart w:id="11" w:name="_Toc173677397"/>
      <w:bookmarkStart w:id="12" w:name="_Toc128229916"/>
      <w:bookmarkStart w:id="13" w:name="_Toc156730450"/>
      <w:bookmarkStart w:id="14" w:name="_Toc166139912"/>
      <w:bookmarkStart w:id="15" w:name="_Toc17501734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5017343"/>
      <w:bookmarkStart w:id="17" w:name="_Toc128229746"/>
      <w:bookmarkStart w:id="18" w:name="_Toc156196560"/>
      <w:bookmarkStart w:id="19" w:name="_Toc128229303"/>
      <w:bookmarkStart w:id="20" w:name="_Toc156815771"/>
      <w:bookmarkStart w:id="21" w:name="_Toc173677398"/>
      <w:bookmarkStart w:id="22" w:name="_Toc166549449"/>
      <w:bookmarkStart w:id="23" w:name="_Toc128229917"/>
      <w:bookmarkStart w:id="24" w:name="_Toc156196471"/>
      <w:bookmarkStart w:id="25" w:name="_Toc166139913"/>
      <w:bookmarkStart w:id="26" w:name="_Toc15673045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5017344"/>
      <w:bookmarkStart w:id="28" w:name="_Toc128229747"/>
      <w:bookmarkStart w:id="29" w:name="_Toc128229304"/>
      <w:bookmarkStart w:id="30" w:name="_Toc128014297"/>
      <w:bookmarkStart w:id="31" w:name="_Toc173677399"/>
      <w:bookmarkStart w:id="32" w:name="_Toc156196472"/>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fe948cd4-91fd-4b35-bc3b-7f5173f97f4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421b256e-60b0-49d8-8489-30de46a5559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57611c12-9e8e-457d-8179-5be6dfd90e1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9f809947-bdd1-44eb-a10d-32047c65d4e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f8db5645-e11f-4660-8a45-7cc5abdf69e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b0669b7b-c1a9-4eda-b64c-f066db514d77}"/>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8c35fd22-f497-4ea3-8f74-5937d54a7225}"/>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333347"/>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B775C99"/>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2B21FD3"/>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A8C5CE6"/>
    <w:rsid w:val="3CCA1B30"/>
    <w:rsid w:val="3E633BE2"/>
    <w:rsid w:val="40E13B95"/>
    <w:rsid w:val="4191761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2C43C1"/>
    <w:rsid w:val="545F09D6"/>
    <w:rsid w:val="549A5A48"/>
    <w:rsid w:val="55FA2D84"/>
    <w:rsid w:val="56703AD1"/>
    <w:rsid w:val="56CB70C2"/>
    <w:rsid w:val="56F37624"/>
    <w:rsid w:val="572F0FEC"/>
    <w:rsid w:val="57DB33E3"/>
    <w:rsid w:val="585D60C3"/>
    <w:rsid w:val="587E3D63"/>
    <w:rsid w:val="588C4742"/>
    <w:rsid w:val="59A13C20"/>
    <w:rsid w:val="59BB2054"/>
    <w:rsid w:val="5A100027"/>
    <w:rsid w:val="5A512369"/>
    <w:rsid w:val="5A5B0C64"/>
    <w:rsid w:val="5AD11C1D"/>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6FBE7F34"/>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e948cd4-91fd-4b35-bc3b-7f5173f97f42}"/>
        <w:style w:val=""/>
        <w:category>
          <w:name w:val="常规"/>
          <w:gallery w:val="placeholder"/>
        </w:category>
        <w:types>
          <w:type w:val="bbPlcHdr"/>
        </w:types>
        <w:behaviors>
          <w:behavior w:val="content"/>
        </w:behaviors>
        <w:description w:val=""/>
        <w:guid w:val="{fe948cd4-91fd-4b35-bc3b-7f5173f97f42}"/>
      </w:docPartPr>
      <w:docPartBody>
        <w:p>
          <w:r>
            <w:rPr>
              <w:color w:val="808080"/>
            </w:rPr>
            <w:t>选择一项。</w:t>
          </w:r>
        </w:p>
      </w:docPartBody>
    </w:docPart>
    <w:docPart>
      <w:docPartPr>
        <w:name w:val="{421b256e-60b0-49d8-8489-30de46a55593}"/>
        <w:style w:val=""/>
        <w:category>
          <w:name w:val="常规"/>
          <w:gallery w:val="placeholder"/>
        </w:category>
        <w:types>
          <w:type w:val="bbPlcHdr"/>
        </w:types>
        <w:behaviors>
          <w:behavior w:val="content"/>
        </w:behaviors>
        <w:description w:val=""/>
        <w:guid w:val="{421b256e-60b0-49d8-8489-30de46a55593}"/>
      </w:docPartPr>
      <w:docPartBody>
        <w:p>
          <w:r>
            <w:rPr>
              <w:color w:val="808080"/>
            </w:rPr>
            <w:t>选择一项。</w:t>
          </w:r>
        </w:p>
      </w:docPartBody>
    </w:docPart>
    <w:docPart>
      <w:docPartPr>
        <w:name w:val="{57611c12-9e8e-457d-8179-5be6dfd90e16}"/>
        <w:style w:val=""/>
        <w:category>
          <w:name w:val="常规"/>
          <w:gallery w:val="placeholder"/>
        </w:category>
        <w:types>
          <w:type w:val="bbPlcHdr"/>
        </w:types>
        <w:behaviors>
          <w:behavior w:val="content"/>
        </w:behaviors>
        <w:description w:val=""/>
        <w:guid w:val="{57611c12-9e8e-457d-8179-5be6dfd90e16}"/>
      </w:docPartPr>
      <w:docPartBody>
        <w:p>
          <w:r>
            <w:rPr>
              <w:color w:val="808080"/>
            </w:rPr>
            <w:t>选择一项。</w:t>
          </w:r>
        </w:p>
      </w:docPartBody>
    </w:docPart>
    <w:docPart>
      <w:docPartPr>
        <w:name w:val="{9f809947-bdd1-44eb-a10d-32047c65d4e8}"/>
        <w:style w:val=""/>
        <w:category>
          <w:name w:val="常规"/>
          <w:gallery w:val="placeholder"/>
        </w:category>
        <w:types>
          <w:type w:val="bbPlcHdr"/>
        </w:types>
        <w:behaviors>
          <w:behavior w:val="content"/>
        </w:behaviors>
        <w:description w:val=""/>
        <w:guid w:val="{9f809947-bdd1-44eb-a10d-32047c65d4e8}"/>
      </w:docPartPr>
      <w:docPartBody>
        <w:p>
          <w:r>
            <w:rPr>
              <w:color w:val="808080"/>
            </w:rPr>
            <w:t>选择一项。</w:t>
          </w:r>
        </w:p>
      </w:docPartBody>
    </w:docPart>
    <w:docPart>
      <w:docPartPr>
        <w:name w:val="{f8db5645-e11f-4660-8a45-7cc5abdf69ec}"/>
        <w:style w:val=""/>
        <w:category>
          <w:name w:val="常规"/>
          <w:gallery w:val="placeholder"/>
        </w:category>
        <w:types>
          <w:type w:val="bbPlcHdr"/>
        </w:types>
        <w:behaviors>
          <w:behavior w:val="content"/>
        </w:behaviors>
        <w:description w:val=""/>
        <w:guid w:val="{f8db5645-e11f-4660-8a45-7cc5abdf69ec}"/>
      </w:docPartPr>
      <w:docPartBody>
        <w:p>
          <w:r>
            <w:rPr>
              <w:color w:val="808080"/>
            </w:rPr>
            <w:t>选择一项。</w:t>
          </w:r>
        </w:p>
      </w:docPartBody>
    </w:docPart>
    <w:docPart>
      <w:docPartPr>
        <w:name w:val="{b0669b7b-c1a9-4eda-b64c-f066db514d77}"/>
        <w:style w:val=""/>
        <w:category>
          <w:name w:val="常规"/>
          <w:gallery w:val="placeholder"/>
        </w:category>
        <w:types>
          <w:type w:val="bbPlcHdr"/>
        </w:types>
        <w:behaviors>
          <w:behavior w:val="content"/>
        </w:behaviors>
        <w:description w:val=""/>
        <w:guid w:val="{b0669b7b-c1a9-4eda-b64c-f066db514d77}"/>
      </w:docPartPr>
      <w:docPartBody>
        <w:p>
          <w:r>
            <w:rPr>
              <w:color w:val="808080"/>
            </w:rPr>
            <w:t>选择一项。</w:t>
          </w:r>
        </w:p>
      </w:docPartBody>
    </w:docPart>
    <w:docPart>
      <w:docPartPr>
        <w:name w:val="{8c35fd22-f497-4ea3-8f74-5937d54a7225}"/>
        <w:style w:val=""/>
        <w:category>
          <w:name w:val="常规"/>
          <w:gallery w:val="placeholder"/>
        </w:category>
        <w:types>
          <w:type w:val="bbPlcHdr"/>
        </w:types>
        <w:behaviors>
          <w:behavior w:val="content"/>
        </w:behaviors>
        <w:description w:val=""/>
        <w:guid w:val="{8c35fd22-f497-4ea3-8f74-5937d54a7225}"/>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8517</Words>
  <Characters>9705</Characters>
  <Lines>202</Lines>
  <Paragraphs>243</Paragraphs>
  <TotalTime>0</TotalTime>
  <ScaleCrop>false</ScaleCrop>
  <LinksUpToDate>false</LinksUpToDate>
  <CharactersWithSpaces>9863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2026-05-06T02:36:46Z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