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6" w:afterLines="40"/>
        <w:textAlignment w:val="auto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医院新一代超融合基础设施平台建设项目技术需求书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为支撑我院未来 2–3 年业务持续增长，承接住院医生站 Web 化、结构化病历、护理系统、医疗无纸化、医务管理及科研管理等新一代核心业务系统上线，同时平滑迁移小部分既有业务系统（按使用计划约十余项，主要为 PACS 系列、Web 挂号、医生站、体检、病理等），并预留支撑互联互通、电子病历五级评审等后续建设的资源余量，拟建设一套高性能、高可用、全栈信创且具备弹性扩展能力的超融合基础设施平台。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该平台将作为全院统一算力与存储底座，不仅需保障核心业务的稳定运行，还需预留充足资源余量与架构扩展性，以应对未来</w:t>
      </w:r>
      <w:r>
        <w:rPr>
          <w:rFonts w:hint="eastAsia"/>
          <w:lang w:val="en-US" w:eastAsia="zh-CN"/>
        </w:rPr>
        <w:t>2-3</w:t>
      </w:r>
      <w:r>
        <w:rPr>
          <w:rFonts w:hint="default"/>
          <w:lang w:val="en-US" w:eastAsia="zh-CN"/>
        </w:rPr>
        <w:t>年内新增业务系统上线、数据量增长、信创深化改造及潜在AI/大数据分析等新型负载的接入需求。本项目仅包含超融合软件、硬件及配套服务，不涉及上层应用系统采购与实施。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总体建设目标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业务精准支撑与预留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针对当前Web应用高并发、无纸化小文件IO密集、科研管理事务型负载等特征提供差异化资源保障；预留≥30%计算/存储资源余量，支持未来</w:t>
      </w:r>
      <w:r>
        <w:rPr>
          <w:rFonts w:hint="eastAsia"/>
          <w:lang w:val="en-US" w:eastAsia="zh-CN"/>
        </w:rPr>
        <w:t>2-3</w:t>
      </w:r>
      <w:r>
        <w:rPr>
          <w:rFonts w:hint="default"/>
          <w:lang w:val="en-US" w:eastAsia="zh-CN"/>
        </w:rPr>
        <w:t>年业务平滑扩容。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满足</w:t>
      </w:r>
      <w:r>
        <w:rPr>
          <w:rFonts w:hint="default"/>
          <w:lang w:val="en-US" w:eastAsia="zh-CN"/>
        </w:rPr>
        <w:t>信创与持续适配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采用</w:t>
      </w:r>
      <w:r>
        <w:rPr>
          <w:rFonts w:hint="default"/>
          <w:lang w:val="en-US" w:eastAsia="zh-CN"/>
        </w:rPr>
        <w:t>主流国产芯片架构、国产操作系统及国产数据库；承诺质保期内适配国产基础软硬件新版本升级。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高可用与业务连续性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核心业务虚拟机具备高可用保护能力，支持在线维护、无损升级与跨节点故障自动切换，保障未来3年业务7×24小时不间断运行。请各厂商提供其方案可实现的RPO/RTO指标及实现方式。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弹性调度与按需伸缩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实现计算、存储、网络资源的自动均衡与横向扩展，满足未来3年业务峰谷波动与新增负载接入。请各厂商说明其单集群最大扩展能力及扩容方式。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运维高效与能力演进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提供一体化监控、自动化巡检、容量预测等运维管理能力，支持API对接</w:t>
      </w:r>
      <w:r>
        <w:rPr>
          <w:rFonts w:hint="eastAsia"/>
          <w:lang w:val="en-US" w:eastAsia="zh-CN"/>
        </w:rPr>
        <w:t>第三方</w:t>
      </w:r>
      <w:r>
        <w:rPr>
          <w:rFonts w:hint="default"/>
          <w:lang w:val="en-US" w:eastAsia="zh-CN"/>
        </w:rPr>
        <w:t>统一运维平台，并为未来智能化运维预留接口。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核心技术功能需求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虚拟化与计算平台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架构兼容性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请说明所支持的服务器架构类型（x86/ARM/其他国产架构），是否支持异构节点混合部署或分集群管理；兼容的操作系统列表（国产OS、Windows Server、Linux等）。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资源调度与高可用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请说明是否具备动态资源调度、虚拟机高可用（HA）、容错等能力及其工作原理；是否支持按业务优先级设置资源预留与配额管理。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扩展能力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是否支持GPU/vGPU透传或直通，为未来AI辅诊、影像处理等场景预留能力；是否支持容器平台集成，为未来微服务化改造提供基础。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分布式存储系统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存储架构与分层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请说明存储分层策略（如缓存层/容量层的组织方式）、是否支持NVMe/SSD作为加速层，以及针对小文件（如PDF</w:t>
      </w:r>
      <w:r>
        <w:rPr>
          <w:rFonts w:hint="eastAsia"/>
          <w:lang w:val="en-US" w:eastAsia="zh-CN"/>
        </w:rPr>
        <w:t>/OFD</w:t>
      </w:r>
      <w:r>
        <w:rPr>
          <w:rFonts w:hint="default"/>
          <w:lang w:val="en-US" w:eastAsia="zh-CN"/>
        </w:rPr>
        <w:t>、Session数据）的IO优化机制。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数据可靠性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请说明支持的数据冗余方式（副本/纠删码/其他）及其配置灵活性；是否提供数据保护功能（如快照、连续数据保护等）及恢复粒度；是否具备数据防篡改或合规保存能力。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存储服务与QoS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请说明支持的存储协议类型（块存储/文件存储/对象存储及相关协议）；是否支持卷级或业务级QoS服务质量控制，保障核心业务IO优先级。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空间效率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是否支持重复数据删除、压缩等空间优化技术，及其对性能的影响；请提供空间效率的典型场景测试数据。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网络与安全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网络架构与性能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请说明推荐的网络架构（带宽、组网方式、是否采用RDMA等加速技术），以及未来带宽升级路径。请说明网络架构对存储性能的影响。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安全隔离与访问控制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是否支持虚拟机级别的流量隔离与安全策略（如微分段、安全组等）；是否支持与</w:t>
      </w:r>
      <w:r>
        <w:rPr>
          <w:rFonts w:hint="eastAsia"/>
          <w:lang w:val="en-US" w:eastAsia="zh-CN"/>
        </w:rPr>
        <w:t>其他</w:t>
      </w:r>
      <w:r>
        <w:rPr>
          <w:rFonts w:hint="default"/>
          <w:lang w:val="en-US" w:eastAsia="zh-CN"/>
        </w:rPr>
        <w:t>安全平台（态势感知/零信任等）联动；安全策略的配置和管理方式。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网络可视化与运维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是否提供网络拓扑可视化、流量监控、异常告警等运维视图；是否支持历史流量分析。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管理与运维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统一管理平台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是否支持单界面管理计算、存储、网络、安全资源；是否支持多租户</w:t>
      </w:r>
      <w:r>
        <w:rPr>
          <w:rFonts w:hint="eastAsia"/>
          <w:lang w:val="en-US" w:eastAsia="zh-CN"/>
        </w:rPr>
        <w:t>/</w:t>
      </w:r>
      <w:r>
        <w:rPr>
          <w:rFonts w:hint="default"/>
          <w:lang w:val="en-US" w:eastAsia="zh-CN"/>
        </w:rPr>
        <w:t>多项目隔离、RBAC权限管理、审计日志；提供哪些开放API接口用于对接运维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CMDB平台。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智能运维与容量预测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是否具备健康检查、性能分析、故障定位等运维能力；是否提供容量与性能趋势预测功能，辅助扩容决策。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bidi w:val="0"/>
        <w:adjustRightInd/>
        <w:snapToGrid/>
        <w:spacing w:before="0" w:beforeLines="0"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备份与灾备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原生支持或兼容哪些备份方案；是否支持异地灾备站点接入，灾备架构及实现方式。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技术评估指标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特别说明：以下指标作为技术评估参考，不设硬性否决项。各厂商应提供其产品的典型配置、典型值及测试条件，院方将在PoC阶段进行验证。指标达标情况将作为技术评估依据，不直接涉及或影响未来招投标。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2115"/>
        <w:gridCol w:w="1575"/>
        <w:gridCol w:w="2940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指标类别</w:t>
            </w:r>
          </w:p>
        </w:tc>
        <w:tc>
          <w:tcPr>
            <w:tcW w:w="2115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指标项</w:t>
            </w:r>
          </w:p>
        </w:tc>
        <w:tc>
          <w:tcPr>
            <w:tcW w:w="1575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参考要求值</w:t>
            </w:r>
          </w:p>
        </w:tc>
        <w:tc>
          <w:tcPr>
            <w:tcW w:w="2940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说明</w:t>
            </w:r>
          </w:p>
        </w:tc>
        <w:tc>
          <w:tcPr>
            <w:tcW w:w="1706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验证方式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restart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计算性能</w:t>
            </w: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虚拟机冷启动时间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&lt; 60秒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反映平台调度效率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实测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continue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vCPU超分比（推荐配置）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请厂商推荐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不同厂商策略不同，请说明推荐值及依据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配置核查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continue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单核计算性能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请厂商提供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请厂商提供同配置裸机基线，在vCPU独占物理核条件下，分别测试Windows、Linux及国产OS的SPEC CPU与UnixBench单核成绩，并计算虚拟化效率比与P99抖动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PoC</w:t>
            </w:r>
            <w:r>
              <w:rPr>
                <w:rFonts w:hint="default"/>
                <w:lang w:val="en-US" w:eastAsia="zh-CN"/>
              </w:rPr>
              <w:t>实测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restart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存储性能</w:t>
            </w: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4K随机读IOPS（单节点</w:t>
            </w:r>
            <w:r>
              <w:rPr>
                <w:rFonts w:hint="eastAsia"/>
                <w:lang w:val="en-US" w:eastAsia="zh-CN"/>
              </w:rPr>
              <w:t>及VM内</w:t>
            </w:r>
            <w:r>
              <w:rPr>
                <w:rFonts w:hint="default"/>
                <w:lang w:val="en-US" w:eastAsia="zh-CN"/>
              </w:rPr>
              <w:t>）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请厂商提供</w:t>
            </w:r>
            <w:r>
              <w:rPr>
                <w:rFonts w:hint="eastAsia"/>
                <w:lang w:val="en-US" w:eastAsia="zh-CN"/>
              </w:rPr>
              <w:t>典型值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请同时提供 P99 延迟及测试条件（缓存命中/穿透、块大小等），不只看峰值 IOP</w:t>
            </w:r>
            <w:r>
              <w:rPr>
                <w:rFonts w:hint="eastAsia"/>
                <w:lang w:val="en-US" w:eastAsia="zh-CN"/>
              </w:rPr>
              <w:t>S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FIO/vdbench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continue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4K随机写延迟（单节点</w:t>
            </w:r>
            <w:r>
              <w:rPr>
                <w:rFonts w:hint="eastAsia"/>
                <w:lang w:val="en-US" w:eastAsia="zh-CN"/>
              </w:rPr>
              <w:t>及VM内</w:t>
            </w:r>
            <w:r>
              <w:rPr>
                <w:rFonts w:hint="default"/>
                <w:lang w:val="en-US" w:eastAsia="zh-CN"/>
              </w:rPr>
              <w:t>）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请厂商提供典型值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请说明延迟优化策略（缓存层/算法等）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FIO/vdbench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continue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小文件上传吞吐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请厂商提供典型值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针对无纸化 PDF</w:t>
            </w:r>
            <w:r>
              <w:rPr>
                <w:rFonts w:hint="eastAsia"/>
                <w:lang w:val="en-US" w:eastAsia="zh-CN"/>
              </w:rPr>
              <w:t>/OFD</w:t>
            </w:r>
            <w:r>
              <w:rPr>
                <w:rFonts w:hint="default"/>
                <w:lang w:val="en-US" w:eastAsia="zh-CN"/>
              </w:rPr>
              <w:t xml:space="preserve"> 等小文件场景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厂商测试报告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continue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存储 QoS 隔离有效性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请厂商提供验证方案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验证卷级 / VM 级 QoS 限速与保障配额在干扰场景下是否真实生效，非核心业务（备份 / 日志）是否被有效限速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PoC 干扰场景实测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restart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高可用</w:t>
            </w: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节点故障业务恢复时间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&lt; 5分钟（参考）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请说明HA切换机制及影响因素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拔盘/断电演练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continue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存储重建速度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请厂商提供典型值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反映故障后数据恢复效率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模拟故障测试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网络性能</w:t>
            </w: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存储网络吞吐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请厂商说明架构及带宽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不同网络架构性能差异大，请说明方案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架构评审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内存特性</w:t>
            </w: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NUMA 拓扑感知调度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请厂商说明支持情况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支持 vCPU 与内存、本地存储控制器 NUMA 节点对齐调度，避免跨节点访问导致存储延迟翻倍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架构评审 / 配置核查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restart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扩展能力</w:t>
            </w: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单集群最大节点数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请厂商提供规格上限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反映平台扩展</w:t>
            </w:r>
            <w:r>
              <w:rPr>
                <w:rFonts w:hint="eastAsia"/>
                <w:lang w:val="en-US" w:eastAsia="zh-CN"/>
              </w:rPr>
              <w:t>上限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厂商规格确认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Merge w:val="continue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扩容过程业务影响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零中断或说明影响程度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在线扩容能力评估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在线扩容演示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8" w:type="dxa"/>
            <w:vAlign w:val="center"/>
          </w:tcPr>
          <w:p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Lines="0"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信创兼容</w:t>
            </w:r>
          </w:p>
        </w:tc>
        <w:tc>
          <w:tcPr>
            <w:tcW w:w="211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国产OS/DB兼容性</w:t>
            </w:r>
          </w:p>
        </w:tc>
        <w:tc>
          <w:tcPr>
            <w:tcW w:w="1575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请列出已认证清单</w:t>
            </w:r>
          </w:p>
        </w:tc>
        <w:tc>
          <w:tcPr>
            <w:tcW w:w="2940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兼容范围越广越好</w:t>
            </w:r>
          </w:p>
        </w:tc>
        <w:tc>
          <w:tcPr>
            <w:tcW w:w="1706" w:type="dxa"/>
            <w:vAlign w:val="center"/>
          </w:tcPr>
          <w:p>
            <w:pPr>
              <w:pStyle w:val="15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厂商互认证明</w:t>
            </w:r>
          </w:p>
        </w:tc>
      </w:tr>
    </w:tbl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实施部署需求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环境勘察与容量规划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中标后5个工作日内完成机房现场勘察，结合未来</w:t>
      </w:r>
      <w:r>
        <w:rPr>
          <w:rFonts w:hint="eastAsia"/>
          <w:lang w:val="en-US" w:eastAsia="zh-CN"/>
        </w:rPr>
        <w:t>2-</w:t>
      </w:r>
      <w:r>
        <w:rPr>
          <w:rFonts w:hint="default"/>
          <w:lang w:val="en-US" w:eastAsia="zh-CN"/>
        </w:rPr>
        <w:t>3年业务增长预测，输出《部署准备确认单》与《容量规划建议书》。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安装调优与基线建立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负责超融合软硬件安装、网络配置、存储初始化；针对</w:t>
      </w:r>
      <w:r>
        <w:rPr>
          <w:rFonts w:hint="eastAsia"/>
          <w:lang w:val="en-US" w:eastAsia="zh-CN"/>
        </w:rPr>
        <w:t>医院当前四大业务</w:t>
      </w:r>
      <w:r>
        <w:rPr>
          <w:rFonts w:hint="default"/>
          <w:lang w:val="en-US" w:eastAsia="zh-CN"/>
        </w:rPr>
        <w:t>及未来潜在负载类型提供专项参数模板；建立性能与容量基线。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迁移支持与风险控制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提供小部分既有系统虚拟机迁移工具与方案（P2V/V2V）；迁移过程需有回滚预案，单次迁移停机窗口≤30分钟/VM；迁移后验证业务性能达标。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验收测试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完成功能、性能、高可用、安全、信创兼容五项验收测试；提供扩容模拟测试，验证新增节点后性能提升与业务影响。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知识转移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交付</w:t>
      </w:r>
      <w:r>
        <w:rPr>
          <w:rFonts w:hint="eastAsia"/>
          <w:lang w:val="en-US" w:eastAsia="zh-CN"/>
        </w:rPr>
        <w:t>涵盖</w:t>
      </w:r>
      <w:r>
        <w:rPr>
          <w:rFonts w:hint="default"/>
          <w:lang w:val="en-US" w:eastAsia="zh-CN"/>
        </w:rPr>
        <w:t>管理员手册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应急预案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性能调优指南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容量规划模板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常见问题</w:t>
      </w:r>
      <w:r>
        <w:rPr>
          <w:rFonts w:hint="eastAsia"/>
          <w:lang w:val="en-US" w:eastAsia="zh-CN"/>
        </w:rPr>
        <w:t>的技术文档</w:t>
      </w:r>
      <w:r>
        <w:rPr>
          <w:rFonts w:hint="default"/>
          <w:lang w:val="en-US" w:eastAsia="zh-CN"/>
        </w:rPr>
        <w:t>；提供≥2场现场培训（含扩容实操演练）。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售后服务需求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质保期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自终验合格之日起，提供≥3年原厂质保（含软硬件、技术支持、版本升级）；质保期内提供容量规划咨询与扩容方案设计。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响应时效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7×24小时热线支持；一级故障15分钟响应、2小时到场、4小时恢复；二级故障30分钟响应、8小时解决</w:t>
      </w:r>
      <w:r>
        <w:rPr>
          <w:rFonts w:hint="eastAsia"/>
          <w:lang w:val="en-US" w:eastAsia="zh-CN"/>
        </w:rPr>
        <w:t>（响应时效越快越好，本条为基础需求）</w:t>
      </w:r>
      <w:r>
        <w:rPr>
          <w:rFonts w:hint="default"/>
          <w:lang w:val="en-US" w:eastAsia="zh-CN"/>
        </w:rPr>
        <w:t>；大版本升级提供兼容性验证。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驻场保障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上线首月提供工程师全职驻场；后续每季度1次现场巡检与健康评估。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版本升级与信创适配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质保期内提供小版本更新与安全补丁；承诺适配国产基础软硬件新版本升级。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应急演练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每年协助开展1次容灾切换与数据恢复演练；</w:t>
      </w:r>
      <w:r>
        <w:rPr>
          <w:rFonts w:hint="eastAsia"/>
          <w:lang w:val="en-US" w:eastAsia="zh-CN"/>
        </w:rPr>
        <w:t>若院方要求，</w:t>
      </w:r>
      <w:r>
        <w:rPr>
          <w:rFonts w:hint="default"/>
          <w:lang w:val="en-US" w:eastAsia="zh-CN"/>
        </w:rPr>
        <w:t>协助制定异地灾备建设方案。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备件服务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提供下一工作日备件送达服务；关键部件备品备件库存≥1套；扩容时提供同型号或兼容型号备件。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每年提供1次进阶培训，内容涵盖新功能、扩容操作、故障排查等。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技术厂商需提供的技术方案内容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为便于院方全面了解各产品技术路线，投标方应在技术方案中重点阐述以下内容：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技术架构白皮书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超融合软件架构图、分布式存储实现原理、网络架构方案、高可用实现机制。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信创路线说明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当前支持的国产芯片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OS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DB清单，未来信创适配路线图。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性能测试报告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第三方或实验室环境下的性能测试数据，注明测试条件、工具、配置。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医疗行业案例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提供≥2个同等级医院超融合实施案例（含规模、架构、上线时间、运行情况）。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差异化优势说明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相比其他超融合方案，本产品的核心技术优势与创新点。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年容量与扩展规划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基于院方提供的业务数据，给出3年资源增长预测与扩容建议。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附件：《参与公司资证</w:t>
      </w:r>
      <w:bookmarkStart w:id="0" w:name="_GoBack"/>
      <w:bookmarkEnd w:id="0"/>
      <w:r>
        <w:rPr>
          <w:rFonts w:hint="eastAsia"/>
          <w:lang w:val="en-US" w:eastAsia="zh-CN"/>
        </w:rPr>
        <w:t>材料要求》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4"/>
          <w:szCs w:val="28"/>
          <w:lang w:val="en-US" w:eastAsia="zh-CN"/>
        </w:rPr>
        <w:t>注：本需求书用于阳光推介会技术交流，旨在全面了解各厂商技术方案与产品能力。最终招标技术参数将以推介会交流成果为基础另行制定。</w:t>
      </w:r>
      <w:r>
        <w:rPr>
          <w:rFonts w:hint="default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参与公司资证材料要求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参与推介的厂商须在会前提交以下材料</w:t>
      </w:r>
      <w:r>
        <w:rPr>
          <w:rFonts w:hint="eastAsia"/>
          <w:lang w:val="en-US" w:eastAsia="zh-CN"/>
        </w:rPr>
        <w:t>：</w:t>
      </w:r>
    </w:p>
    <w:p>
      <w:pPr>
        <w:pStyle w:val="2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法定代表人授权委托书（原件）及被授权人身份证复印件；</w:t>
      </w:r>
    </w:p>
    <w:p>
      <w:pPr>
        <w:pStyle w:val="2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参与企业营业执照副本复印件（加盖公章）；</w:t>
      </w:r>
    </w:p>
    <w:p>
      <w:pPr>
        <w:pStyle w:val="2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推介宣讲材料（PPT）及产品技术白皮书 / 测试报告（含</w:t>
      </w:r>
      <w:r>
        <w:rPr>
          <w:rFonts w:hint="eastAsia"/>
          <w:lang w:val="en-US" w:eastAsia="zh-CN"/>
        </w:rPr>
        <w:t>相关</w:t>
      </w:r>
      <w:r>
        <w:rPr>
          <w:rFonts w:hint="default"/>
          <w:lang w:val="en-US" w:eastAsia="zh-CN"/>
        </w:rPr>
        <w:t>证明、同级别医院案例）；</w:t>
      </w:r>
    </w:p>
    <w:p>
      <w:pPr>
        <w:pStyle w:val="2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其他：产品原厂授权（如为代理商）、售后服务体系与本地服务网点说明。</w:t>
      </w:r>
    </w:p>
    <w:p>
      <w:pPr>
        <w:bidi w:val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47" w:right="1247" w:bottom="1247" w:left="136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36"/>
      </w:pPr>
      <w:r>
        <w:separator/>
      </w:r>
    </w:p>
  </w:endnote>
  <w:endnote w:type="continuationSeparator" w:id="1">
    <w:p>
      <w:pPr>
        <w:spacing w:line="240" w:lineRule="auto"/>
        <w:ind w:firstLine="53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36"/>
      </w:pPr>
      <w:r>
        <w:separator/>
      </w:r>
    </w:p>
  </w:footnote>
  <w:footnote w:type="continuationSeparator" w:id="1">
    <w:p>
      <w:pPr>
        <w:spacing w:line="240" w:lineRule="auto"/>
        <w:ind w:firstLine="53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36677"/>
    <w:multiLevelType w:val="singleLevel"/>
    <w:tmpl w:val="85436677"/>
    <w:lvl w:ilvl="0" w:tentative="0">
      <w:start w:val="1"/>
      <w:numFmt w:val="decimal"/>
      <w:pStyle w:val="24"/>
      <w:lvlText w:val="%1."/>
      <w:lvlJc w:val="left"/>
      <w:pPr>
        <w:tabs>
          <w:tab w:val="left" w:pos="312"/>
        </w:tabs>
      </w:pPr>
    </w:lvl>
  </w:abstractNum>
  <w:abstractNum w:abstractNumId="1">
    <w:nsid w:val="B62E7C74"/>
    <w:multiLevelType w:val="singleLevel"/>
    <w:tmpl w:val="B62E7C74"/>
    <w:lvl w:ilvl="0" w:tentative="0">
      <w:start w:val="1"/>
      <w:numFmt w:val="chineseCounting"/>
      <w:pStyle w:val="14"/>
      <w:suff w:val="nothing"/>
      <w:lvlText w:val="%1、"/>
      <w:lvlJc w:val="left"/>
      <w:pPr>
        <w:tabs>
          <w:tab w:val="left" w:pos="0"/>
        </w:tabs>
        <w:ind w:left="0" w:firstLine="397"/>
      </w:pPr>
      <w:rPr>
        <w:rFonts w:hint="eastAsia" w:eastAsia="方正黑体_GBK"/>
        <w:sz w:val="28"/>
        <w:szCs w:val="28"/>
      </w:rPr>
    </w:lvl>
  </w:abstractNum>
  <w:abstractNum w:abstractNumId="2">
    <w:nsid w:val="D44DB0A3"/>
    <w:multiLevelType w:val="singleLevel"/>
    <w:tmpl w:val="D44DB0A3"/>
    <w:lvl w:ilvl="0" w:tentative="0">
      <w:start w:val="1"/>
      <w:numFmt w:val="decimal"/>
      <w:pStyle w:val="20"/>
      <w:suff w:val="nothing"/>
      <w:lvlText w:val="（%1）"/>
      <w:lvlJc w:val="left"/>
      <w:pPr>
        <w:tabs>
          <w:tab w:val="left" w:pos="0"/>
        </w:tabs>
        <w:ind w:left="0" w:firstLine="1134"/>
      </w:pPr>
      <w:rPr>
        <w:rFonts w:hint="default" w:ascii="Times New Roman" w:hAnsi="Times New Roman" w:eastAsia="方正仿宋_GBK"/>
        <w:sz w:val="28"/>
        <w:szCs w:val="28"/>
      </w:rPr>
    </w:lvl>
  </w:abstractNum>
  <w:abstractNum w:abstractNumId="3">
    <w:nsid w:val="D87D1DDF"/>
    <w:multiLevelType w:val="singleLevel"/>
    <w:tmpl w:val="D87D1DDF"/>
    <w:lvl w:ilvl="0" w:tentative="0">
      <w:start w:val="1"/>
      <w:numFmt w:val="decimal"/>
      <w:pStyle w:val="27"/>
      <w:suff w:val="nothing"/>
      <w:lvlText w:val="(%1)"/>
      <w:lvlJc w:val="left"/>
      <w:pPr>
        <w:tabs>
          <w:tab w:val="left" w:pos="0"/>
        </w:tabs>
        <w:ind w:left="0" w:firstLine="1134"/>
      </w:pPr>
      <w:rPr>
        <w:rFonts w:hint="default" w:ascii="Times New Roman" w:hAnsi="Times New Roman" w:eastAsia="方正仿宋_GBK"/>
        <w:sz w:val="28"/>
        <w:szCs w:val="28"/>
      </w:rPr>
    </w:lvl>
  </w:abstractNum>
  <w:abstractNum w:abstractNumId="4">
    <w:nsid w:val="E139CA88"/>
    <w:multiLevelType w:val="singleLevel"/>
    <w:tmpl w:val="E139CA88"/>
    <w:lvl w:ilvl="0" w:tentative="0">
      <w:start w:val="1"/>
      <w:numFmt w:val="decimal"/>
      <w:pStyle w:val="25"/>
      <w:lvlText w:val="%1."/>
      <w:lvlJc w:val="left"/>
      <w:pPr>
        <w:tabs>
          <w:tab w:val="left" w:pos="312"/>
        </w:tabs>
      </w:pPr>
      <w:rPr>
        <w:rFonts w:hint="default" w:ascii="方正楷体_GBK" w:hAnsi="方正楷体_GBK" w:eastAsia="方正楷体_GBK"/>
        <w:sz w:val="21"/>
        <w:szCs w:val="21"/>
      </w:rPr>
    </w:lvl>
  </w:abstractNum>
  <w:abstractNum w:abstractNumId="5">
    <w:nsid w:val="F6EDE2FE"/>
    <w:multiLevelType w:val="singleLevel"/>
    <w:tmpl w:val="F6EDE2FE"/>
    <w:lvl w:ilvl="0" w:tentative="0">
      <w:start w:val="1"/>
      <w:numFmt w:val="decimal"/>
      <w:pStyle w:val="12"/>
      <w:suff w:val="nothing"/>
      <w:lvlText w:val="%1."/>
      <w:lvlJc w:val="left"/>
      <w:pPr>
        <w:tabs>
          <w:tab w:val="left" w:pos="0"/>
        </w:tabs>
        <w:ind w:left="0" w:firstLine="1134"/>
      </w:pPr>
      <w:rPr>
        <w:rFonts w:hint="default" w:ascii="Times New Roman" w:hAnsi="Times New Roman" w:eastAsia="方正仿宋_GBK"/>
        <w:sz w:val="28"/>
        <w:szCs w:val="28"/>
      </w:rPr>
    </w:lvl>
  </w:abstractNum>
  <w:abstractNum w:abstractNumId="6">
    <w:nsid w:val="FD32AD35"/>
    <w:multiLevelType w:val="singleLevel"/>
    <w:tmpl w:val="FD32AD35"/>
    <w:lvl w:ilvl="0" w:tentative="0">
      <w:start w:val="1"/>
      <w:numFmt w:val="decimal"/>
      <w:pStyle w:val="17"/>
      <w:suff w:val="nothing"/>
      <w:lvlText w:val="%1."/>
      <w:lvlJc w:val="left"/>
      <w:pPr>
        <w:tabs>
          <w:tab w:val="left" w:pos="0"/>
        </w:tabs>
        <w:ind w:left="0" w:firstLine="1134"/>
      </w:pPr>
      <w:rPr>
        <w:rFonts w:hint="default" w:ascii="Times New Roman" w:hAnsi="Times New Roman" w:eastAsia="方正仿宋_GBK"/>
        <w:sz w:val="28"/>
        <w:szCs w:val="28"/>
      </w:rPr>
    </w:lvl>
  </w:abstractNum>
  <w:abstractNum w:abstractNumId="7">
    <w:nsid w:val="1C731E9E"/>
    <w:multiLevelType w:val="singleLevel"/>
    <w:tmpl w:val="1C731E9E"/>
    <w:lvl w:ilvl="0" w:tentative="0">
      <w:start w:val="1"/>
      <w:numFmt w:val="chineseCounting"/>
      <w:pStyle w:val="18"/>
      <w:suff w:val="nothing"/>
      <w:lvlText w:val="（%1）"/>
      <w:lvlJc w:val="left"/>
      <w:pPr>
        <w:tabs>
          <w:tab w:val="left" w:pos="0"/>
        </w:tabs>
        <w:ind w:left="0" w:firstLine="397"/>
      </w:pPr>
      <w:rPr>
        <w:rFonts w:hint="eastAsia" w:ascii="Times New Roman" w:hAnsi="Times New Roman" w:eastAsia="方正仿宋_GBK" w:cs="方正仿宋_GBK"/>
        <w:sz w:val="28"/>
        <w:szCs w:val="28"/>
      </w:rPr>
    </w:lvl>
  </w:abstractNum>
  <w:abstractNum w:abstractNumId="8">
    <w:nsid w:val="259A0D6D"/>
    <w:multiLevelType w:val="singleLevel"/>
    <w:tmpl w:val="259A0D6D"/>
    <w:lvl w:ilvl="0" w:tentative="0">
      <w:start w:val="1"/>
      <w:numFmt w:val="decimal"/>
      <w:pStyle w:val="28"/>
      <w:suff w:val="nothing"/>
      <w:lvlText w:val="(%1)"/>
      <w:lvlJc w:val="left"/>
      <w:pPr>
        <w:tabs>
          <w:tab w:val="left" w:pos="0"/>
        </w:tabs>
        <w:ind w:left="0" w:firstLine="1134"/>
      </w:pPr>
      <w:rPr>
        <w:rFonts w:hint="default" w:ascii="Times New Roman" w:hAnsi="Times New Roman" w:eastAsia="方正仿宋_GBK"/>
        <w:sz w:val="28"/>
        <w:szCs w:val="28"/>
      </w:rPr>
    </w:lvl>
  </w:abstractNum>
  <w:abstractNum w:abstractNumId="9">
    <w:nsid w:val="30A12F69"/>
    <w:multiLevelType w:val="singleLevel"/>
    <w:tmpl w:val="30A12F69"/>
    <w:lvl w:ilvl="0" w:tentative="0">
      <w:start w:val="1"/>
      <w:numFmt w:val="chineseCounting"/>
      <w:pStyle w:val="13"/>
      <w:suff w:val="nothing"/>
      <w:lvlText w:val="（%1）"/>
      <w:lvlJc w:val="left"/>
      <w:pPr>
        <w:tabs>
          <w:tab w:val="left" w:pos="0"/>
        </w:tabs>
        <w:ind w:left="0" w:firstLine="397"/>
      </w:pPr>
      <w:rPr>
        <w:rFonts w:hint="eastAsia" w:ascii="Times New Roman" w:hAnsi="Times New Roman" w:eastAsia="楷体"/>
        <w:sz w:val="28"/>
        <w:szCs w:val="28"/>
      </w:rPr>
    </w:lvl>
  </w:abstractNum>
  <w:abstractNum w:abstractNumId="10">
    <w:nsid w:val="46F44412"/>
    <w:multiLevelType w:val="singleLevel"/>
    <w:tmpl w:val="46F44412"/>
    <w:lvl w:ilvl="0" w:tentative="0">
      <w:start w:val="1"/>
      <w:numFmt w:val="chineseCounting"/>
      <w:pStyle w:val="23"/>
      <w:suff w:val="nothing"/>
      <w:lvlText w:val="%1、"/>
      <w:lvlJc w:val="left"/>
      <w:pPr>
        <w:tabs>
          <w:tab w:val="left" w:pos="0"/>
        </w:tabs>
      </w:pPr>
      <w:rPr>
        <w:rFonts w:hint="eastAsi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  <w:num w:numId="12">
    <w:abstractNumId w:val="9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ODIyMGMwNTczN2U0MGQ3N2ViNmFlNTU3MTE5YTAifQ=="/>
  </w:docVars>
  <w:rsids>
    <w:rsidRoot w:val="291A1470"/>
    <w:rsid w:val="00C50748"/>
    <w:rsid w:val="00D925B6"/>
    <w:rsid w:val="014B6E20"/>
    <w:rsid w:val="02E76B51"/>
    <w:rsid w:val="03F64A94"/>
    <w:rsid w:val="041709B7"/>
    <w:rsid w:val="05503BF7"/>
    <w:rsid w:val="0654239A"/>
    <w:rsid w:val="065A407E"/>
    <w:rsid w:val="0B2A470A"/>
    <w:rsid w:val="0C700BB2"/>
    <w:rsid w:val="0EC4372C"/>
    <w:rsid w:val="116F1136"/>
    <w:rsid w:val="120E55C5"/>
    <w:rsid w:val="16352320"/>
    <w:rsid w:val="166127C6"/>
    <w:rsid w:val="1689604F"/>
    <w:rsid w:val="16FA35E4"/>
    <w:rsid w:val="17A65C11"/>
    <w:rsid w:val="181672B3"/>
    <w:rsid w:val="188C65D3"/>
    <w:rsid w:val="19031A95"/>
    <w:rsid w:val="19D33DF9"/>
    <w:rsid w:val="1B492FD4"/>
    <w:rsid w:val="1D63332A"/>
    <w:rsid w:val="1D863B00"/>
    <w:rsid w:val="1DAC4880"/>
    <w:rsid w:val="1E85275F"/>
    <w:rsid w:val="1FF26CC1"/>
    <w:rsid w:val="21006A3F"/>
    <w:rsid w:val="22365A6E"/>
    <w:rsid w:val="26DB2996"/>
    <w:rsid w:val="26DC741E"/>
    <w:rsid w:val="280B0504"/>
    <w:rsid w:val="291A1470"/>
    <w:rsid w:val="29435DD4"/>
    <w:rsid w:val="2DBB6416"/>
    <w:rsid w:val="2E0B761D"/>
    <w:rsid w:val="2E2A18EC"/>
    <w:rsid w:val="2F891A9A"/>
    <w:rsid w:val="2FC229F6"/>
    <w:rsid w:val="32202447"/>
    <w:rsid w:val="322923A8"/>
    <w:rsid w:val="324355FF"/>
    <w:rsid w:val="336523B0"/>
    <w:rsid w:val="340001DB"/>
    <w:rsid w:val="34F753DA"/>
    <w:rsid w:val="356D6BE9"/>
    <w:rsid w:val="365D671D"/>
    <w:rsid w:val="368566BF"/>
    <w:rsid w:val="38CD45C5"/>
    <w:rsid w:val="3A15519F"/>
    <w:rsid w:val="3A8C02DD"/>
    <w:rsid w:val="3BD50179"/>
    <w:rsid w:val="40153261"/>
    <w:rsid w:val="411F3F25"/>
    <w:rsid w:val="43BC23F3"/>
    <w:rsid w:val="44AB5204"/>
    <w:rsid w:val="459C435A"/>
    <w:rsid w:val="464C207C"/>
    <w:rsid w:val="46534369"/>
    <w:rsid w:val="46780629"/>
    <w:rsid w:val="481270C5"/>
    <w:rsid w:val="4C051B24"/>
    <w:rsid w:val="4D9E486E"/>
    <w:rsid w:val="4E43116F"/>
    <w:rsid w:val="4F864995"/>
    <w:rsid w:val="4FCF4E7E"/>
    <w:rsid w:val="50635459"/>
    <w:rsid w:val="516D0698"/>
    <w:rsid w:val="54C85664"/>
    <w:rsid w:val="558009F6"/>
    <w:rsid w:val="55DD3103"/>
    <w:rsid w:val="5667125C"/>
    <w:rsid w:val="56E3616E"/>
    <w:rsid w:val="575142D9"/>
    <w:rsid w:val="579051E9"/>
    <w:rsid w:val="5B9C388E"/>
    <w:rsid w:val="5C9555DC"/>
    <w:rsid w:val="5E6323CF"/>
    <w:rsid w:val="5F20512A"/>
    <w:rsid w:val="5F387044"/>
    <w:rsid w:val="5F5A2241"/>
    <w:rsid w:val="60EE010F"/>
    <w:rsid w:val="60F006F6"/>
    <w:rsid w:val="615877D2"/>
    <w:rsid w:val="6201715C"/>
    <w:rsid w:val="6482168E"/>
    <w:rsid w:val="64BC0E58"/>
    <w:rsid w:val="64F272F7"/>
    <w:rsid w:val="650C2823"/>
    <w:rsid w:val="660A7682"/>
    <w:rsid w:val="68015041"/>
    <w:rsid w:val="68110B6B"/>
    <w:rsid w:val="6AA86EC6"/>
    <w:rsid w:val="6C5D5710"/>
    <w:rsid w:val="6C846764"/>
    <w:rsid w:val="6C8A3643"/>
    <w:rsid w:val="6E0E2FA4"/>
    <w:rsid w:val="704F31CC"/>
    <w:rsid w:val="70586A8C"/>
    <w:rsid w:val="71234239"/>
    <w:rsid w:val="71F32D47"/>
    <w:rsid w:val="721D44A4"/>
    <w:rsid w:val="7443214A"/>
    <w:rsid w:val="74D27473"/>
    <w:rsid w:val="7650222A"/>
    <w:rsid w:val="7BEA06B6"/>
    <w:rsid w:val="7DC93D15"/>
    <w:rsid w:val="7E306A7B"/>
    <w:rsid w:val="7E3345BB"/>
    <w:rsid w:val="7F7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方正仿宋_GBK" w:cstheme="minorBidi"/>
      <w:spacing w:val="-6"/>
      <w:kern w:val="2"/>
      <w:sz w:val="28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_GBK"/>
      <w:b/>
      <w:spacing w:val="0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="10" w:afterLines="10" w:afterAutospacing="0" w:line="640" w:lineRule="exact"/>
      <w:ind w:firstLine="0" w:firstLineChars="0"/>
      <w:jc w:val="center"/>
      <w:outlineLvl w:val="1"/>
    </w:pPr>
    <w:rPr>
      <w:rFonts w:ascii="Times New Roman" w:hAnsi="Times New Roman" w:eastAsia="方正小标宋_GBK"/>
      <w:spacing w:val="0"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napToGrid w:val="0"/>
      <w:spacing w:beforeLines="0" w:beforeAutospacing="0" w:after="20" w:afterLines="20" w:afterAutospacing="0" w:line="240" w:lineRule="auto"/>
      <w:ind w:firstLine="0" w:firstLineChars="0"/>
      <w:jc w:val="center"/>
      <w:outlineLvl w:val="2"/>
    </w:pPr>
    <w:rPr>
      <w:rFonts w:ascii="Times New Roman" w:hAnsi="Times New Roman" w:eastAsia="方正楷体简体"/>
      <w:sz w:val="24"/>
    </w:rPr>
  </w:style>
  <w:style w:type="character" w:default="1" w:styleId="11">
    <w:name w:val="Default Paragraph Font"/>
    <w:semiHidden/>
    <w:qFormat/>
    <w:uiPriority w:val="0"/>
    <w:rPr>
      <w:rFonts w:ascii="Times New Roman" w:hAnsi="Times New Roman" w:eastAsia="方正仿宋_GBK"/>
      <w:sz w:val="32"/>
      <w:szCs w:val="32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9"/>
    <w:qFormat/>
    <w:uiPriority w:val="0"/>
    <w:pPr>
      <w:autoSpaceDE w:val="0"/>
      <w:autoSpaceDN w:val="0"/>
      <w:spacing w:afterLines="0" w:afterAutospacing="0" w:line="360" w:lineRule="exact"/>
    </w:pPr>
    <w:rPr>
      <w:rFonts w:ascii="微软雅黑 Light" w:hAnsi="微软雅黑 Light" w:cs="微软雅黑 Light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5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三级标题"/>
    <w:basedOn w:val="1"/>
    <w:qFormat/>
    <w:uiPriority w:val="0"/>
    <w:pPr>
      <w:numPr>
        <w:ilvl w:val="0"/>
        <w:numId w:val="1"/>
      </w:numPr>
      <w:autoSpaceDE w:val="0"/>
      <w:autoSpaceDN w:val="0"/>
      <w:spacing w:before="10" w:beforeLines="10" w:line="480" w:lineRule="exact"/>
      <w:ind w:firstLine="640" w:firstLineChars="200"/>
      <w:jc w:val="left"/>
      <w:outlineLvl w:val="2"/>
    </w:pPr>
    <w:rPr>
      <w:rFonts w:hint="eastAsia" w:ascii="Times New Roman" w:hAnsi="Times New Roman" w:cs="Times New Roman"/>
      <w:b/>
    </w:rPr>
  </w:style>
  <w:style w:type="paragraph" w:customStyle="1" w:styleId="13">
    <w:name w:val="二级标题"/>
    <w:basedOn w:val="14"/>
    <w:qFormat/>
    <w:uiPriority w:val="0"/>
    <w:pPr>
      <w:numPr>
        <w:numId w:val="2"/>
      </w:numPr>
      <w:tabs>
        <w:tab w:val="left" w:pos="0"/>
      </w:tabs>
      <w:autoSpaceDE/>
      <w:autoSpaceDN/>
      <w:spacing w:line="560" w:lineRule="exact"/>
      <w:ind w:left="0" w:firstLine="867" w:firstLineChars="200"/>
      <w:jc w:val="left"/>
      <w:outlineLvl w:val="1"/>
    </w:pPr>
    <w:rPr>
      <w:rFonts w:ascii="Times New Roman" w:hAnsi="Times New Roman" w:eastAsia="方正楷体_GBK" w:cs="Times New Roman"/>
      <w:kern w:val="28"/>
      <w:lang w:bidi="ar"/>
    </w:rPr>
  </w:style>
  <w:style w:type="paragraph" w:customStyle="1" w:styleId="14">
    <w:name w:val="一级标题"/>
    <w:basedOn w:val="1"/>
    <w:next w:val="1"/>
    <w:link w:val="26"/>
    <w:qFormat/>
    <w:uiPriority w:val="0"/>
    <w:pPr>
      <w:numPr>
        <w:ilvl w:val="0"/>
        <w:numId w:val="3"/>
      </w:numPr>
      <w:autoSpaceDE w:val="0"/>
      <w:autoSpaceDN w:val="0"/>
      <w:spacing w:line="560" w:lineRule="exact"/>
      <w:ind w:firstLine="640"/>
      <w:jc w:val="left"/>
      <w:outlineLvl w:val="0"/>
    </w:pPr>
    <w:rPr>
      <w:rFonts w:hint="eastAsia" w:ascii="Times New Roman" w:hAnsi="Times New Roman" w:eastAsia="方正黑体_GBK" w:cs="Times New Roman"/>
      <w:spacing w:val="0"/>
      <w:szCs w:val="28"/>
    </w:rPr>
  </w:style>
  <w:style w:type="paragraph" w:customStyle="1" w:styleId="15">
    <w:name w:val="表格内容"/>
    <w:basedOn w:val="5"/>
    <w:qFormat/>
    <w:uiPriority w:val="0"/>
    <w:pPr>
      <w:ind w:firstLine="0" w:firstLineChars="0"/>
      <w:jc w:val="center"/>
    </w:pPr>
    <w:rPr>
      <w:rFonts w:ascii="Times New Roman" w:hAnsi="Times New Roman"/>
      <w:sz w:val="24"/>
    </w:rPr>
  </w:style>
  <w:style w:type="character" w:customStyle="1" w:styleId="16">
    <w:name w:val="三级标题 Char"/>
    <w:link w:val="17"/>
    <w:qFormat/>
    <w:uiPriority w:val="0"/>
    <w:rPr>
      <w:rFonts w:hint="eastAsia" w:ascii="Times New Roman" w:hAnsi="Times New Roman" w:eastAsia="方正仿宋_GBK" w:cs="Times New Roman"/>
      <w:sz w:val="28"/>
    </w:rPr>
  </w:style>
  <w:style w:type="paragraph" w:customStyle="1" w:styleId="17">
    <w:name w:val="合同-三级标题"/>
    <w:basedOn w:val="1"/>
    <w:link w:val="16"/>
    <w:qFormat/>
    <w:uiPriority w:val="0"/>
    <w:pPr>
      <w:numPr>
        <w:ilvl w:val="0"/>
        <w:numId w:val="4"/>
      </w:numPr>
      <w:autoSpaceDE w:val="0"/>
      <w:autoSpaceDN w:val="0"/>
      <w:spacing w:line="500" w:lineRule="exact"/>
      <w:ind w:firstLine="640" w:firstLineChars="200"/>
      <w:jc w:val="left"/>
      <w:outlineLvl w:val="2"/>
    </w:pPr>
    <w:rPr>
      <w:rFonts w:hint="eastAsia" w:ascii="Times New Roman" w:hAnsi="Times New Roman" w:cs="Times New Roman"/>
    </w:rPr>
  </w:style>
  <w:style w:type="paragraph" w:customStyle="1" w:styleId="18">
    <w:name w:val="合同-二级标题"/>
    <w:basedOn w:val="14"/>
    <w:link w:val="29"/>
    <w:qFormat/>
    <w:uiPriority w:val="0"/>
    <w:pPr>
      <w:numPr>
        <w:numId w:val="5"/>
      </w:numPr>
      <w:autoSpaceDE/>
      <w:autoSpaceDN/>
      <w:spacing w:line="500" w:lineRule="exact"/>
      <w:ind w:firstLine="867"/>
      <w:outlineLvl w:val="1"/>
    </w:pPr>
    <w:rPr>
      <w:rFonts w:ascii="Times New Roman" w:hAnsi="Times New Roman" w:eastAsia="方正仿宋_GBK" w:cs="Times New Roman"/>
      <w:kern w:val="28"/>
    </w:rPr>
  </w:style>
  <w:style w:type="character" w:customStyle="1" w:styleId="19">
    <w:name w:val="正文文本 Char"/>
    <w:link w:val="5"/>
    <w:qFormat/>
    <w:uiPriority w:val="0"/>
    <w:rPr>
      <w:rFonts w:ascii="微软雅黑 Light" w:hAnsi="微软雅黑 Light" w:eastAsia="方正仿宋_GBK" w:cs="微软雅黑 Light"/>
      <w:szCs w:val="28"/>
    </w:rPr>
  </w:style>
  <w:style w:type="paragraph" w:customStyle="1" w:styleId="20">
    <w:name w:val="合同-四级内容"/>
    <w:basedOn w:val="17"/>
    <w:qFormat/>
    <w:uiPriority w:val="0"/>
    <w:pPr>
      <w:numPr>
        <w:numId w:val="6"/>
      </w:numPr>
      <w:spacing w:afterLines="0"/>
      <w:ind w:firstLine="536"/>
      <w:outlineLvl w:val="9"/>
    </w:pPr>
    <w:rPr>
      <w:rFonts w:cs="方正仿宋_GBK"/>
      <w:color w:val="auto"/>
      <w:szCs w:val="28"/>
    </w:rPr>
  </w:style>
  <w:style w:type="paragraph" w:customStyle="1" w:styleId="21">
    <w:name w:val="表格标题"/>
    <w:basedOn w:val="15"/>
    <w:next w:val="15"/>
    <w:qFormat/>
    <w:uiPriority w:val="0"/>
    <w:pPr>
      <w:keepNext/>
      <w:keepLines/>
      <w:autoSpaceDE/>
      <w:autoSpaceDN/>
      <w:spacing w:beforeLines="0" w:line="500" w:lineRule="exact"/>
      <w:outlineLvl w:val="2"/>
    </w:pPr>
    <w:rPr>
      <w:rFonts w:eastAsia="方正黑体_GBK"/>
    </w:rPr>
  </w:style>
  <w:style w:type="paragraph" w:customStyle="1" w:styleId="22">
    <w:name w:val="合同甲乙方"/>
    <w:basedOn w:val="1"/>
    <w:next w:val="1"/>
    <w:qFormat/>
    <w:uiPriority w:val="0"/>
    <w:pPr>
      <w:spacing w:after="20" w:afterLines="20" w:line="500" w:lineRule="exact"/>
      <w:ind w:firstLine="0" w:firstLineChars="0"/>
    </w:pPr>
    <w:rPr>
      <w:rFonts w:ascii="Times New Roman" w:hAnsi="Times New Roman" w:eastAsia="方正黑体_GBK"/>
      <w:spacing w:val="0"/>
    </w:rPr>
  </w:style>
  <w:style w:type="paragraph" w:customStyle="1" w:styleId="23">
    <w:name w:val="合同-一级标题"/>
    <w:basedOn w:val="2"/>
    <w:next w:val="5"/>
    <w:qFormat/>
    <w:uiPriority w:val="0"/>
    <w:pPr>
      <w:numPr>
        <w:ilvl w:val="0"/>
        <w:numId w:val="7"/>
      </w:numPr>
      <w:autoSpaceDE w:val="0"/>
      <w:autoSpaceDN w:val="0"/>
      <w:snapToGrid w:val="0"/>
      <w:spacing w:after="2" w:line="500" w:lineRule="exact"/>
      <w:ind w:firstLine="800" w:firstLineChars="200"/>
      <w:jc w:val="left"/>
    </w:pPr>
    <w:rPr>
      <w:rFonts w:ascii="Times New Roman" w:hAnsi="Times New Roman" w:eastAsia="方正仿宋_GBK"/>
      <w:b w:val="0"/>
      <w:spacing w:val="0"/>
      <w:kern w:val="28"/>
      <w:sz w:val="28"/>
      <w:szCs w:val="28"/>
    </w:rPr>
  </w:style>
  <w:style w:type="paragraph" w:customStyle="1" w:styleId="24">
    <w:name w:val="样式1"/>
    <w:basedOn w:val="15"/>
    <w:next w:val="15"/>
    <w:qFormat/>
    <w:uiPriority w:val="0"/>
    <w:pPr>
      <w:numPr>
        <w:ilvl w:val="0"/>
        <w:numId w:val="8"/>
      </w:numPr>
    </w:pPr>
    <w:rPr>
      <w:rFonts w:hint="eastAsia" w:eastAsia="方正楷体简体"/>
      <w:spacing w:val="0"/>
    </w:rPr>
  </w:style>
  <w:style w:type="paragraph" w:customStyle="1" w:styleId="25">
    <w:name w:val="表格内容特别说明"/>
    <w:basedOn w:val="15"/>
    <w:next w:val="15"/>
    <w:qFormat/>
    <w:uiPriority w:val="0"/>
    <w:pPr>
      <w:numPr>
        <w:ilvl w:val="0"/>
        <w:numId w:val="9"/>
      </w:numPr>
      <w:snapToGrid w:val="0"/>
      <w:spacing w:line="240" w:lineRule="auto"/>
      <w:jc w:val="left"/>
    </w:pPr>
    <w:rPr>
      <w:rFonts w:hint="eastAsia" w:ascii="Times New Roman" w:hAnsi="Times New Roman" w:eastAsia="方正楷体_GBK"/>
      <w:sz w:val="21"/>
    </w:rPr>
  </w:style>
  <w:style w:type="character" w:customStyle="1" w:styleId="26">
    <w:name w:val="一级标题 Char"/>
    <w:link w:val="14"/>
    <w:qFormat/>
    <w:uiPriority w:val="0"/>
    <w:rPr>
      <w:rFonts w:hint="eastAsia" w:ascii="Times New Roman" w:hAnsi="Times New Roman" w:eastAsia="方正黑体_GBK" w:cs="Times New Roman"/>
      <w:spacing w:val="0"/>
      <w:szCs w:val="32"/>
    </w:rPr>
  </w:style>
  <w:style w:type="paragraph" w:customStyle="1" w:styleId="27">
    <w:name w:val="样式2"/>
    <w:basedOn w:val="12"/>
    <w:next w:val="1"/>
    <w:qFormat/>
    <w:uiPriority w:val="0"/>
    <w:pPr>
      <w:numPr>
        <w:numId w:val="10"/>
      </w:numPr>
    </w:pPr>
    <w:rPr>
      <w:rFonts w:ascii="Times New Roman" w:hAnsi="Times New Roman"/>
      <w:b w:val="0"/>
    </w:rPr>
  </w:style>
  <w:style w:type="paragraph" w:customStyle="1" w:styleId="28">
    <w:name w:val="四级标题"/>
    <w:basedOn w:val="12"/>
    <w:next w:val="1"/>
    <w:qFormat/>
    <w:uiPriority w:val="0"/>
    <w:pPr>
      <w:numPr>
        <w:numId w:val="11"/>
      </w:numPr>
    </w:pPr>
    <w:rPr>
      <w:rFonts w:ascii="Times New Roman" w:hAnsi="Times New Roman"/>
      <w:b w:val="0"/>
    </w:rPr>
  </w:style>
  <w:style w:type="character" w:customStyle="1" w:styleId="29">
    <w:name w:val="合同-二级标题 Char"/>
    <w:link w:val="18"/>
    <w:qFormat/>
    <w:uiPriority w:val="0"/>
    <w:rPr>
      <w:rFonts w:ascii="Times New Roman" w:hAnsi="Times New Roman" w:eastAsia="方正仿宋_GBK" w:cs="Times New Roman"/>
      <w:kern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2026-07-19T23:45:00Z</dcterms:created>
  <dc:creator>雷翔翼</dc:creator>
  <cp:lastModifiedBy>雷翔翼</cp:lastModifiedBy>
  <dcterms:modified xsi:type="dcterms:W3CDTF">2026-07-21T08:34:08Z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47CB6919CF7846168886CB3FC8E643DC_13</vt:lpwstr>
  </property>
</Properties>
</file>