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口外研磨材料等耗材（第三次）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03012</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2370"/>
        <w:gridCol w:w="1935"/>
        <w:gridCol w:w="2460"/>
        <w:gridCol w:w="82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37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93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口外研磨材料</w:t>
            </w:r>
          </w:p>
        </w:tc>
        <w:tc>
          <w:tcPr>
            <w:tcW w:w="23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氧化铝（27um；50um；90um）</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用于研磨抛光修复体，使其表面平滑均匀</w:t>
            </w:r>
          </w:p>
        </w:tc>
        <w:tc>
          <w:tcPr>
            <w:tcW w:w="246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由碳酸钙、氧化钙、氧化锆、铝粉和氧化镁组成</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150</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2"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排龈线</w:t>
            </w:r>
          </w:p>
        </w:tc>
        <w:tc>
          <w:tcPr>
            <w:tcW w:w="23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编织棉线,244cm</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用于分离、保护牙龈组织及收龈沟液:配合止血剂或分离剂用于牙科修复</w:t>
            </w:r>
          </w:p>
        </w:tc>
        <w:tc>
          <w:tcPr>
            <w:tcW w:w="246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纯棉编织线为主，部分产品会添加药物以增强特定功能</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rPr>
              <w:t>20</w:t>
            </w:r>
            <w:r>
              <w:rPr>
                <w:rFonts w:hint="eastAsia"/>
                <w:lang w:val="en-US" w:eastAsia="zh-CN"/>
              </w:rPr>
              <w:t>个</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90.75</w:t>
            </w:r>
            <w:r>
              <w:rPr>
                <w:rFonts w:hint="eastAsia" w:ascii="宋体" w:hAnsi="宋体" w:cs="宋体"/>
                <w:i w:val="0"/>
                <w:iCs w:val="0"/>
                <w:color w:val="000000"/>
                <w:kern w:val="0"/>
                <w:sz w:val="21"/>
                <w:szCs w:val="21"/>
                <w:u w:val="none"/>
                <w:lang w:val="en-US" w:eastAsia="zh-CN" w:bidi="ar"/>
              </w:rPr>
              <w:t>元/</w:t>
            </w:r>
            <w:r>
              <w:rPr>
                <w:rFonts w:hint="eastAsia"/>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2"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牙科抛光刷</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刷毛材料包括尼龙（分为硬毛和软毛）、猪鬃毛，以及部分专业抛光刷会使用含有碳化硅磨料的聚酰胺材料；刷柄通常由金属（如纯铜、不锈钢）或医用塑料制成，部分产品表面会进行镀镍处理以增强耐腐蚀性和手感</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用于对牙齿表面的除垢、抛光</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刷毛材料包括尼龙（分为硬毛和软毛）、猪鬃毛，以及部分专业抛光刷会使用含有碳化硅磨料的聚酰胺材料；刷柄通常由金属（如纯铜、不锈钢）或医用塑料制成，部分产品表面会进行镀镍处理以增强耐腐蚀性和手感</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1000个</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元/</w:t>
            </w:r>
            <w:r>
              <w:rPr>
                <w:rFonts w:hint="eastAsia"/>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镍钛弹簧</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镍和钛‌的合金 178mm长</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用于矫治牙齿畸形，在口腔正畸治疗时与正畸材料种植体支抗、正畸托槽配合使用</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由镍（Ni）和钛（Ti）按近等原子比组成的‌形状记忆合金‌</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20包</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577"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903" w:type="dxa"/>
            <w:vMerge w:val="restart"/>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口腔科</w:t>
            </w:r>
          </w:p>
        </w:tc>
        <w:tc>
          <w:tcPr>
            <w:tcW w:w="1035" w:type="dxa"/>
            <w:vMerge w:val="restart"/>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橡皮障</w:t>
            </w:r>
          </w:p>
        </w:tc>
        <w:tc>
          <w:tcPr>
            <w:tcW w:w="2370" w:type="dxa"/>
            <w:vMerge w:val="restart"/>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通常由一块薄而柔软的橡胶片制成</w:t>
            </w:r>
          </w:p>
        </w:tc>
        <w:tc>
          <w:tcPr>
            <w:tcW w:w="1935" w:type="dxa"/>
            <w:vMerge w:val="restart"/>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用于牙科治疗时隔离牙齿</w:t>
            </w:r>
          </w:p>
        </w:tc>
        <w:tc>
          <w:tcPr>
            <w:tcW w:w="2460" w:type="dxa"/>
            <w:vMerge w:val="restart"/>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通常由一块薄而柔软的橡胶片制成</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10盒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default" w:ascii="宋体" w:hAnsi="宋体" w:cs="宋体"/>
                <w:i w:val="0"/>
                <w:iCs w:val="0"/>
                <w:color w:val="000000"/>
                <w:kern w:val="0"/>
                <w:sz w:val="21"/>
                <w:szCs w:val="21"/>
                <w:highlight w:val="yellow"/>
                <w:u w:val="none"/>
                <w:lang w:val="en-US" w:eastAsia="zh-CN" w:bidi="ar"/>
              </w:rPr>
              <w:t>180</w:t>
            </w:r>
            <w:r>
              <w:rPr>
                <w:rFonts w:hint="eastAsia" w:ascii="宋体" w:hAnsi="宋体" w:cs="宋体"/>
                <w:i w:val="0"/>
                <w:iCs w:val="0"/>
                <w:color w:val="000000"/>
                <w:kern w:val="0"/>
                <w:sz w:val="21"/>
                <w:szCs w:val="21"/>
                <w:highlight w:val="yellow"/>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577" w:type="dxa"/>
            <w:vMerge w:val="continue"/>
            <w:shd w:val="clear" w:color="auto" w:fill="auto"/>
            <w:vAlign w:val="center"/>
          </w:tcPr>
          <w:p>
            <w:pPr>
              <w:keepNext w:val="0"/>
              <w:keepLines w:val="0"/>
              <w:widowControl/>
              <w:suppressLineNumbers w:val="0"/>
              <w:jc w:val="center"/>
              <w:textAlignment w:val="center"/>
            </w:pPr>
          </w:p>
        </w:tc>
        <w:tc>
          <w:tcPr>
            <w:tcW w:w="903" w:type="dxa"/>
            <w:vMerge w:val="continue"/>
            <w:shd w:val="clear" w:color="auto" w:fill="auto"/>
            <w:vAlign w:val="center"/>
          </w:tcPr>
          <w:p>
            <w:pPr>
              <w:keepNext w:val="0"/>
              <w:keepLines w:val="0"/>
              <w:widowControl/>
              <w:suppressLineNumbers w:val="0"/>
              <w:jc w:val="center"/>
              <w:textAlignment w:val="center"/>
              <w:rPr>
                <w:highlight w:val="yellow"/>
              </w:rPr>
            </w:pPr>
          </w:p>
        </w:tc>
        <w:tc>
          <w:tcPr>
            <w:tcW w:w="1035" w:type="dxa"/>
            <w:vMerge w:val="continue"/>
            <w:shd w:val="clear" w:color="auto" w:fill="auto"/>
            <w:vAlign w:val="center"/>
          </w:tcPr>
          <w:p>
            <w:pPr>
              <w:keepNext w:val="0"/>
              <w:keepLines w:val="0"/>
              <w:widowControl/>
              <w:suppressLineNumbers w:val="0"/>
              <w:jc w:val="center"/>
              <w:textAlignment w:val="center"/>
              <w:rPr>
                <w:highlight w:val="yellow"/>
              </w:rPr>
            </w:pPr>
          </w:p>
        </w:tc>
        <w:tc>
          <w:tcPr>
            <w:tcW w:w="2370" w:type="dxa"/>
            <w:vMerge w:val="continue"/>
            <w:shd w:val="clear" w:color="auto" w:fill="auto"/>
            <w:vAlign w:val="center"/>
          </w:tcPr>
          <w:p>
            <w:pPr>
              <w:keepNext w:val="0"/>
              <w:keepLines w:val="0"/>
              <w:widowControl/>
              <w:suppressLineNumbers w:val="0"/>
              <w:jc w:val="center"/>
              <w:textAlignment w:val="center"/>
              <w:rPr>
                <w:highlight w:val="yellow"/>
              </w:rPr>
            </w:pPr>
          </w:p>
        </w:tc>
        <w:tc>
          <w:tcPr>
            <w:tcW w:w="1935" w:type="dxa"/>
            <w:vMerge w:val="continue"/>
            <w:shd w:val="clear" w:color="auto" w:fill="auto"/>
            <w:vAlign w:val="center"/>
          </w:tcPr>
          <w:p>
            <w:pPr>
              <w:keepNext w:val="0"/>
              <w:keepLines w:val="0"/>
              <w:widowControl/>
              <w:suppressLineNumbers w:val="0"/>
              <w:jc w:val="center"/>
              <w:textAlignment w:val="center"/>
              <w:rPr>
                <w:highlight w:val="yellow"/>
              </w:rPr>
            </w:pPr>
          </w:p>
        </w:tc>
        <w:tc>
          <w:tcPr>
            <w:tcW w:w="2460" w:type="dxa"/>
            <w:vMerge w:val="continue"/>
            <w:shd w:val="clear" w:color="auto" w:fill="auto"/>
            <w:vAlign w:val="center"/>
          </w:tcPr>
          <w:p>
            <w:pPr>
              <w:keepNext w:val="0"/>
              <w:keepLines w:val="0"/>
              <w:widowControl/>
              <w:suppressLineNumbers w:val="0"/>
              <w:jc w:val="center"/>
              <w:textAlignment w:val="center"/>
              <w:rPr>
                <w:highlight w:val="yellow"/>
              </w:rPr>
            </w:pP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20盒</w:t>
            </w:r>
          </w:p>
        </w:tc>
        <w:tc>
          <w:tcPr>
            <w:tcW w:w="86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yellow"/>
                <w:u w:val="none"/>
                <w:lang w:val="en-US" w:eastAsia="zh-CN" w:bidi="ar"/>
              </w:rPr>
              <w:t>415元/盒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红白打样膏</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基础材料为‌萜二烯树脂‌（部分资料称萜烯树脂），并添加‌硬脂酸‌、‌滑石粉‌作为辅助材料</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用于口腔牙科取模用</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基础材料为‌萜二烯树脂‌（部分资料称萜烯树脂），并添加‌硬脂酸‌、‌滑石粉‌作为辅助材料红色打样膏‌：通常由萜二烯树脂、硬脂酸、滑石粉和‌卡那巴蜡‌组成；白色打样膏‌：由萜二烯树脂、硬脂酸、滑石粉和‌锌钡白‌（或称立德粉）组成</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57.75</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不锈钢正畸丝</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用于牙齿正畸矫治治疗</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37.13</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钢质抛光条(双面)</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采用钢材（如碳钢或不锈钢）制成；4mm</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用于修复体的抛光、打磨以及多余部分的去除或种植体的清扫，也用于牙齿表面的除垢、抛光</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采用钢材（如碳钢或不锈钢）制成</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226.05</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游离牵引钩（问号钩）</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不锈钢；7.0MM </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用于牙列畸形患者，矫正时牵引用</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不锈钢</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30包</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28</w:t>
            </w:r>
            <w:r>
              <w:rPr>
                <w:rFonts w:hint="eastAsia" w:ascii="宋体" w:hAnsi="宋体" w:cs="宋体"/>
                <w:i w:val="0"/>
                <w:iCs w:val="0"/>
                <w:color w:val="000000"/>
                <w:kern w:val="0"/>
                <w:sz w:val="21"/>
                <w:szCs w:val="21"/>
                <w:u w:val="none"/>
                <w:lang w:val="en-US" w:eastAsia="zh-CN" w:bidi="ar"/>
              </w:rPr>
              <w:t>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5"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石英纤维夹板(WOVEN带状夹板补充装)</w:t>
            </w:r>
          </w:p>
        </w:tc>
        <w:tc>
          <w:tcPr>
            <w:tcW w:w="23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光固化树脂基质‌：主要成分为‌Bis-GMA（双酚A双甲基丙烯酸缩水甘油酯）‌和‌TEGDMA（三乙二醇二甲基丙烯酸酯）‌，并添加光引发剂（如樟脑醌）和催化剂（如4-二甲氨基苯甲酸乙酯）2.5*80mm</w:t>
            </w:r>
          </w:p>
        </w:tc>
        <w:tc>
          <w:tcPr>
            <w:tcW w:w="19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用于松动牙齿的夹板固位，树脂冠桥或义齿基托的增强</w:t>
            </w:r>
          </w:p>
        </w:tc>
        <w:tc>
          <w:tcPr>
            <w:tcW w:w="24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由‌石英纤维‌与‌光固化树脂基质‌复合而成的非金属修复材料</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8盒</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1155</w:t>
            </w:r>
            <w:r>
              <w:rPr>
                <w:rFonts w:hint="eastAsia" w:ascii="宋体" w:hAnsi="宋体" w:cs="宋体"/>
                <w:i w:val="0"/>
                <w:iCs w:val="0"/>
                <w:color w:val="000000"/>
                <w:kern w:val="0"/>
                <w:sz w:val="21"/>
                <w:szCs w:val="21"/>
                <w:u w:val="none"/>
                <w:lang w:val="en-US" w:eastAsia="zh-CN" w:bidi="ar"/>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10974"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014287"/>
      <w:bookmarkStart w:id="2" w:name="_Toc237057789"/>
      <w:bookmarkStart w:id="3" w:name="_Toc128229721"/>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28229745"/>
      <w:bookmarkStart w:id="7" w:name="_Toc156730450"/>
      <w:bookmarkStart w:id="8" w:name="_Toc156196470"/>
      <w:bookmarkStart w:id="9" w:name="_Toc166139912"/>
      <w:bookmarkStart w:id="10" w:name="_Toc128229302"/>
      <w:bookmarkStart w:id="11" w:name="_Toc173677397"/>
      <w:bookmarkStart w:id="12" w:name="_Toc175017342"/>
      <w:bookmarkStart w:id="13" w:name="_Toc156815770"/>
      <w:bookmarkStart w:id="14" w:name="_Toc166549448"/>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28229917"/>
      <w:bookmarkStart w:id="18" w:name="_Toc166139913"/>
      <w:bookmarkStart w:id="19" w:name="_Toc156196471"/>
      <w:bookmarkStart w:id="20" w:name="_Toc173677398"/>
      <w:bookmarkStart w:id="21" w:name="_Toc166549449"/>
      <w:bookmarkStart w:id="22" w:name="_Toc156815771"/>
      <w:bookmarkStart w:id="23" w:name="_Toc128229746"/>
      <w:bookmarkStart w:id="24" w:name="_Toc175017343"/>
      <w:bookmarkStart w:id="25" w:name="_Toc156730451"/>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56196472"/>
      <w:bookmarkStart w:id="29" w:name="_Toc173677399"/>
      <w:bookmarkStart w:id="30" w:name="_Toc128229747"/>
      <w:bookmarkStart w:id="31" w:name="_Toc128014297"/>
      <w:bookmarkStart w:id="32" w:name="_Toc128229304"/>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BA14F9"/>
    <w:rsid w:val="0AEF7612"/>
    <w:rsid w:val="0B281E05"/>
    <w:rsid w:val="0B2964A2"/>
    <w:rsid w:val="0B982A6A"/>
    <w:rsid w:val="0BF25AB4"/>
    <w:rsid w:val="0C1A03FD"/>
    <w:rsid w:val="0C25027D"/>
    <w:rsid w:val="0D0C6D3A"/>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C0490"/>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5C5387"/>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8977C7"/>
    <w:rsid w:val="74E26423"/>
    <w:rsid w:val="75AD2D57"/>
    <w:rsid w:val="76383848"/>
    <w:rsid w:val="76CA13F7"/>
    <w:rsid w:val="76CC3A2F"/>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0</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2026-05-08T02:22:43Z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