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项目名称：导引延伸导管（第二次）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03015</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心血管内科</w:t>
            </w:r>
          </w:p>
        </w:tc>
        <w:tc>
          <w:tcPr>
            <w:tcW w:w="15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导引延伸导管</w:t>
            </w:r>
          </w:p>
        </w:tc>
        <w:tc>
          <w:tcPr>
            <w:tcW w:w="1215"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5F  长度35cm,带侧孔</w:t>
            </w:r>
          </w:p>
        </w:tc>
        <w:tc>
          <w:tcPr>
            <w:tcW w:w="1410"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用于冠脉复杂病变，加强支撑力，辅助支架、球囊导管等其他介入器械的放置</w:t>
            </w:r>
          </w:p>
        </w:tc>
        <w:tc>
          <w:tcPr>
            <w:tcW w:w="2674" w:type="dxa"/>
            <w:shd w:val="clear" w:color="auto" w:fill="auto"/>
            <w:vAlign w:val="center"/>
          </w:tcPr>
          <w:p>
            <w:pPr>
              <w:keepNext w:val="0"/>
              <w:keepLines w:val="0"/>
              <w:widowControl/>
              <w:suppressLineNumbers w:val="0"/>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远端交换导管、斜口、推杆和手柄组成。交换导管尖端内含显影标环。产品涂有亲水涂层。环氧乙烷灭菌，一次性使用。</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5400</w:t>
            </w:r>
          </w:p>
          <w:p>
            <w:pPr>
              <w:keepNext w:val="0"/>
              <w:keepLines w:val="0"/>
              <w:widowControl/>
              <w:suppressLineNumbers w:val="0"/>
              <w:jc w:val="left"/>
              <w:textAlignment w:val="center"/>
              <w:rPr>
                <w:rFonts w:hint="eastAsia"/>
                <w:lang w:val="en-US" w:eastAsia="zh-CN"/>
              </w:rPr>
            </w:pPr>
            <w:r>
              <w:rPr>
                <w:rFonts w:hint="eastAsia"/>
                <w:lang w:val="en-US" w:eastAsia="zh-CN"/>
              </w:rPr>
              <w:t>元/套</w:t>
            </w:r>
          </w:p>
          <w:p>
            <w:pPr>
              <w:keepNext w:val="0"/>
              <w:keepLines w:val="0"/>
              <w:widowControl/>
              <w:suppressLineNumbers w:val="0"/>
              <w:jc w:val="left"/>
              <w:textAlignment w:val="center"/>
              <w:rPr>
                <w:rFonts w:hint="default"/>
                <w:lang w:val="en-US" w:eastAsia="zh-CN"/>
              </w:rPr>
            </w:pP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56196446"/>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56196559"/>
      <w:bookmarkStart w:id="7" w:name="_Toc166549448"/>
      <w:bookmarkStart w:id="8" w:name="_Toc128229916"/>
      <w:bookmarkStart w:id="9" w:name="_Toc175017342"/>
      <w:bookmarkStart w:id="10" w:name="_Toc173677397"/>
      <w:bookmarkStart w:id="11" w:name="_Toc156196470"/>
      <w:bookmarkStart w:id="12" w:name="_Toc156730450"/>
      <w:bookmarkStart w:id="13" w:name="_Toc128229302"/>
      <w:bookmarkStart w:id="14" w:name="_Toc128229745"/>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56730451"/>
      <w:bookmarkStart w:id="18" w:name="_Toc128229917"/>
      <w:bookmarkStart w:id="19" w:name="_Toc175017343"/>
      <w:bookmarkStart w:id="20" w:name="_Toc128229303"/>
      <w:bookmarkStart w:id="21" w:name="_Toc156196471"/>
      <w:bookmarkStart w:id="22" w:name="_Toc173677398"/>
      <w:bookmarkStart w:id="23" w:name="_Toc166139913"/>
      <w:bookmarkStart w:id="24" w:name="_Toc128229746"/>
      <w:bookmarkStart w:id="25" w:name="_Toc156196560"/>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237057793"/>
      <w:bookmarkStart w:id="29" w:name="_Toc175017344"/>
      <w:bookmarkStart w:id="30" w:name="_Toc173677399"/>
      <w:bookmarkStart w:id="31" w:name="_Toc128014297"/>
      <w:bookmarkStart w:id="32" w:name="_Toc128229747"/>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6C6380"/>
    <w:rsid w:val="0F776B4A"/>
    <w:rsid w:val="0FAE5575"/>
    <w:rsid w:val="1060172D"/>
    <w:rsid w:val="11135531"/>
    <w:rsid w:val="111663BA"/>
    <w:rsid w:val="1127726F"/>
    <w:rsid w:val="112A1D2D"/>
    <w:rsid w:val="11532599"/>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10467</Words>
  <Characters>11708</Characters>
  <Lines>202</Lines>
  <Paragraphs>243</Paragraphs>
  <TotalTime>16</TotalTime>
  <ScaleCrop>false</ScaleCrop>
  <LinksUpToDate>false</LinksUpToDate>
  <CharactersWithSpaces>12280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2026-03-16T07:34:32Z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