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葡萄糖酸氯己定消毒湿巾等耗材（第二次）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葡萄糖酸氯己定消毒湿巾</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小于等于8片/包</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RO纯水，绿茶香精，葡萄糖酸洗必泰，丙二醇</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default" w:ascii="宋体" w:hAnsi="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500mL 葡萄糖酸氯己定皮肤消毒液</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大于等于500ml/瓶</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葡萄糖氯已定含量为2.0%</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50瓶</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229721"/>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75017342"/>
      <w:bookmarkStart w:id="7" w:name="_Toc156196470"/>
      <w:bookmarkStart w:id="8" w:name="_Toc128229302"/>
      <w:bookmarkStart w:id="9" w:name="_Toc166139912"/>
      <w:bookmarkStart w:id="10" w:name="_Toc128229745"/>
      <w:bookmarkStart w:id="11" w:name="_Toc173677397"/>
      <w:bookmarkStart w:id="12" w:name="_Toc156815770"/>
      <w:bookmarkStart w:id="13" w:name="_Toc156730450"/>
      <w:bookmarkStart w:id="14" w:name="_Toc156196559"/>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56730451"/>
      <w:bookmarkStart w:id="18" w:name="_Toc173677398"/>
      <w:bookmarkStart w:id="19" w:name="_Toc128229303"/>
      <w:bookmarkStart w:id="20" w:name="_Toc175017343"/>
      <w:bookmarkStart w:id="21" w:name="_Toc166139913"/>
      <w:bookmarkStart w:id="22" w:name="_Toc166549449"/>
      <w:bookmarkStart w:id="23" w:name="_Toc128229917"/>
      <w:bookmarkStart w:id="24" w:name="_Toc156196471"/>
      <w:bookmarkStart w:id="25" w:name="_Toc128229746"/>
      <w:bookmarkStart w:id="26" w:name="_Toc1568157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56196472"/>
      <w:bookmarkStart w:id="29" w:name="_Toc128229304"/>
      <w:bookmarkStart w:id="30" w:name="_Toc175017344"/>
      <w:bookmarkStart w:id="31" w:name="_Toc237057793"/>
      <w:bookmarkStart w:id="32" w:name="_Toc173677399"/>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52125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1</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2026-06-03T08:21:19Z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