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项目名称：中心实验室液氮（第二次</w:t>
      </w:r>
      <w:bookmarkStart w:id="7" w:name="_GoBack"/>
      <w:bookmarkEnd w:id="7"/>
      <w:r>
        <w:rPr>
          <w:rFonts w:hint="eastAsia"/>
          <w:sz w:val="44"/>
          <w:szCs w:val="44"/>
          <w:highlight w:val="none"/>
          <w:lang w:val="en-US" w:eastAsia="zh-CN"/>
        </w:rPr>
        <w:t>）</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项目编号：BSRMYY-YNCG-2025-07011</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4"/>
        <w:tblW w:w="505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2528"/>
        <w:gridCol w:w="2265"/>
        <w:gridCol w:w="1725"/>
        <w:gridCol w:w="2445"/>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503"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268"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136"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3年预估用量</w:t>
            </w:r>
          </w:p>
        </w:tc>
        <w:tc>
          <w:tcPr>
            <w:tcW w:w="865"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226"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503"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268"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中心实验室液氮</w:t>
            </w:r>
          </w:p>
        </w:tc>
        <w:tc>
          <w:tcPr>
            <w:tcW w:w="1136"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7200</w:t>
            </w:r>
          </w:p>
        </w:tc>
        <w:tc>
          <w:tcPr>
            <w:tcW w:w="865"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升</w:t>
            </w:r>
          </w:p>
        </w:tc>
        <w:tc>
          <w:tcPr>
            <w:tcW w:w="1226"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7</w:t>
            </w:r>
          </w:p>
        </w:tc>
      </w:tr>
      <w:tr w14:paraId="35F71D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5000" w:type="pct"/>
            <w:gridSpan w:val="5"/>
            <w:vAlign w:val="center"/>
          </w:tcPr>
          <w:p w14:paraId="33BEFAEA">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按3年预估用量合计总价为50400元</w:t>
            </w:r>
          </w:p>
        </w:tc>
      </w:tr>
    </w:tbl>
    <w:p w14:paraId="012F0EB6">
      <w:pPr>
        <w:pStyle w:val="26"/>
        <w:numPr>
          <w:ilvl w:val="0"/>
          <w:numId w:val="0"/>
        </w:numPr>
        <w:ind w:firstLine="562" w:firstLineChars="200"/>
        <w:jc w:val="left"/>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备注：预估用量不做采购承诺，合同期限3年以实际验收用量据实结算。</w:t>
      </w:r>
    </w:p>
    <w:p w14:paraId="73EE7FE2">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4"/>
        <w:tblW w:w="536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4"/>
        <w:gridCol w:w="2486"/>
        <w:gridCol w:w="5819"/>
        <w:gridCol w:w="1438"/>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 w:type="pct"/>
            <w:vAlign w:val="center"/>
          </w:tcPr>
          <w:p w14:paraId="1471F3D3">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176" w:type="pct"/>
            <w:vAlign w:val="center"/>
          </w:tcPr>
          <w:p w14:paraId="781E349F">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753" w:type="pct"/>
            <w:vAlign w:val="center"/>
          </w:tcPr>
          <w:p w14:paraId="1FA22701">
            <w:pPr>
              <w:pStyle w:val="26"/>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c>
          <w:tcPr>
            <w:tcW w:w="680" w:type="pct"/>
            <w:vAlign w:val="center"/>
          </w:tcPr>
          <w:p w14:paraId="3BE81362">
            <w:pPr>
              <w:pStyle w:val="26"/>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390" w:type="pct"/>
            <w:shd w:val="clear" w:color="auto" w:fill="auto"/>
            <w:vAlign w:val="center"/>
          </w:tcPr>
          <w:p w14:paraId="6303FD0A">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176" w:type="pct"/>
            <w:shd w:val="clear" w:color="auto" w:fill="auto"/>
            <w:vAlign w:val="center"/>
          </w:tcPr>
          <w:p w14:paraId="5E5ACB0C">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中心实验室液氮</w:t>
            </w:r>
          </w:p>
        </w:tc>
        <w:tc>
          <w:tcPr>
            <w:tcW w:w="2753" w:type="pct"/>
            <w:shd w:val="clear" w:color="auto" w:fill="auto"/>
            <w:vAlign w:val="center"/>
          </w:tcPr>
          <w:p w14:paraId="156DBB06">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1.产品形式与状态：液态氮（LN2）</w:t>
            </w:r>
          </w:p>
          <w:p w14:paraId="0E8C9C5E">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2.液氮纯度：≥99.5%（体积分数）</w:t>
            </w:r>
          </w:p>
          <w:p w14:paraId="1ABAAE17">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3.关键物理特性与质量要求：低温液体（通常 -196°C以下）</w:t>
            </w:r>
          </w:p>
          <w:p w14:paraId="2CDF0D1C">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4.压力（交付时）：常压（通常按开放式储罐）</w:t>
            </w:r>
          </w:p>
        </w:tc>
        <w:tc>
          <w:tcPr>
            <w:tcW w:w="680" w:type="pct"/>
            <w:shd w:val="clear" w:color="auto" w:fill="auto"/>
            <w:vAlign w:val="center"/>
          </w:tcPr>
          <w:p w14:paraId="5C28C1CF">
            <w:pPr>
              <w:pStyle w:val="26"/>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用于样本冻存及细胞冻存</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C80D19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1.提供工商行政管理部门核发的有效企业法人营业执照、危险品许可证、易制毒品备案证明和运输资质；</w:t>
      </w:r>
    </w:p>
    <w:p w14:paraId="61BE468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2.其他法律法规有关规定。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86F49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本项目招采3年单价，最高单价限价为7元/升。</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货款、液氮充装（采购人提供容积50升、30升、10升液氮敞口瓶）运输装卸、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672F26B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及联系方式，不得实施商业贿赂等不良行为。合同签订前，供应商应提供产品检测报告。</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中选后，一般情况接采购人通知后15天内完成送货，特殊情况5天内完成送货；</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验收合格后据实结算，付款时供应商提供发票、验收单、送货单等；每三个月结算一次。</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按照采购招标文件对产品性能及参数逐项验收，验收后使用中发现产品质量争议按照验收争议进行处理；验收争议时由采购人邀请第三方机构检测，费用由供应商承担。</w:t>
      </w:r>
    </w:p>
    <w:p w14:paraId="548723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35D48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（1）供应商应为采购人提供技术援助电话，解答采购人在使用中遇到的问题，及时提出解决问题的建议。</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（2）产品出现任何故障，供应商应30分钟提供电话响应，4小时到达医院处置。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合同总金额千分之三的违约金，超过30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39955E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因供应商及其产品原因导致采购人损失的，应赔偿对医院造成的直接和间接损失全额损失。合同履行期间发生争议，协商无果由重庆市璧山区人民法院裁决。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产品出现不良事件；合同周期内供应商出现2次及以上违约送货行为；供应商廉洁违纪行为；供应商主动放弃等。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5BEEDE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1.提供工商行政管理部门核发的有效企业法人营业执照、危险品许可证、易制毒品备案证明和运输资质；</w:t>
      </w:r>
    </w:p>
    <w:p w14:paraId="45018C5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2.其他法律法规有关规定。</w:t>
      </w:r>
    </w:p>
    <w:p w14:paraId="7E1668BD">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014297"/>
      <w:bookmarkStart w:id="1" w:name="_Toc128229304"/>
      <w:bookmarkStart w:id="2" w:name="_Toc237057793"/>
      <w:bookmarkStart w:id="3" w:name="_Toc128229747"/>
      <w:bookmarkStart w:id="4" w:name="_Toc156196472"/>
      <w:bookmarkStart w:id="5" w:name="_Toc173677399"/>
      <w:bookmarkStart w:id="6" w:name="_Toc17501734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元/升。</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eastAsia="zh-CN"/>
        </w:rPr>
        <w:t>配套服务</w:t>
      </w:r>
      <w:r>
        <w:rPr>
          <w:rFonts w:hint="eastAsia" w:ascii="方正仿宋_GBK" w:hAnsi="方正仿宋_GBK" w:eastAsia="方正仿宋_GBK" w:cs="方正仿宋_GBK"/>
          <w:b/>
          <w:bCs/>
          <w:sz w:val="32"/>
          <w:szCs w:val="32"/>
          <w:highlight w:val="none"/>
        </w:rPr>
        <w:t>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1956A54"/>
    <w:rsid w:val="122D0B62"/>
    <w:rsid w:val="133D5E0A"/>
    <w:rsid w:val="15D4217A"/>
    <w:rsid w:val="1922346A"/>
    <w:rsid w:val="1AAE2C67"/>
    <w:rsid w:val="1AF86BE0"/>
    <w:rsid w:val="1B3306B6"/>
    <w:rsid w:val="1BDE0896"/>
    <w:rsid w:val="1C1979BC"/>
    <w:rsid w:val="1CA06CA3"/>
    <w:rsid w:val="1CE4012E"/>
    <w:rsid w:val="1CF00EFC"/>
    <w:rsid w:val="1F2F00AB"/>
    <w:rsid w:val="1FC97167"/>
    <w:rsid w:val="2027068C"/>
    <w:rsid w:val="205210D9"/>
    <w:rsid w:val="20746E51"/>
    <w:rsid w:val="20C96DFD"/>
    <w:rsid w:val="21426D4A"/>
    <w:rsid w:val="215F0650"/>
    <w:rsid w:val="236757CC"/>
    <w:rsid w:val="23FB11F4"/>
    <w:rsid w:val="28256D6A"/>
    <w:rsid w:val="28275AF0"/>
    <w:rsid w:val="29AE2A56"/>
    <w:rsid w:val="2A1A6F3D"/>
    <w:rsid w:val="2C3529EE"/>
    <w:rsid w:val="2CCA628B"/>
    <w:rsid w:val="2F250420"/>
    <w:rsid w:val="2F2F3117"/>
    <w:rsid w:val="2FC44243"/>
    <w:rsid w:val="31092EA8"/>
    <w:rsid w:val="31B12793"/>
    <w:rsid w:val="33FB61AD"/>
    <w:rsid w:val="342C6BC9"/>
    <w:rsid w:val="35761799"/>
    <w:rsid w:val="359B4383"/>
    <w:rsid w:val="376E6279"/>
    <w:rsid w:val="381A15C2"/>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1915C25"/>
    <w:rsid w:val="53A17F68"/>
    <w:rsid w:val="53DB6C22"/>
    <w:rsid w:val="54B6568B"/>
    <w:rsid w:val="55085A60"/>
    <w:rsid w:val="55BB5978"/>
    <w:rsid w:val="564C7BCE"/>
    <w:rsid w:val="59343196"/>
    <w:rsid w:val="599E0097"/>
    <w:rsid w:val="5ADB7D78"/>
    <w:rsid w:val="5BF65E58"/>
    <w:rsid w:val="5D1C705B"/>
    <w:rsid w:val="5D6C0A93"/>
    <w:rsid w:val="5D915A0E"/>
    <w:rsid w:val="5DBD061A"/>
    <w:rsid w:val="5E932E93"/>
    <w:rsid w:val="5F364262"/>
    <w:rsid w:val="5FA4498B"/>
    <w:rsid w:val="60480506"/>
    <w:rsid w:val="61130716"/>
    <w:rsid w:val="61143219"/>
    <w:rsid w:val="61707CCC"/>
    <w:rsid w:val="61A6052D"/>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EB7F80"/>
    <w:rsid w:val="6D0072B3"/>
    <w:rsid w:val="6D1F523E"/>
    <w:rsid w:val="6D38732A"/>
    <w:rsid w:val="6DD05A39"/>
    <w:rsid w:val="6EC6360F"/>
    <w:rsid w:val="6EE24C47"/>
    <w:rsid w:val="6EF6241D"/>
    <w:rsid w:val="6FB940CF"/>
    <w:rsid w:val="704D7FCB"/>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F0174A"/>
    <w:rsid w:val="7B5C1973"/>
    <w:rsid w:val="7BDE27F0"/>
    <w:rsid w:val="7C6F2CF1"/>
    <w:rsid w:val="7CB244A3"/>
    <w:rsid w:val="7EBD0F4B"/>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6"/>
    <w:qFormat/>
    <w:uiPriority w:val="0"/>
    <w:rPr>
      <w:rFonts w:ascii="楷体" w:hAnsi="楷体" w:eastAsia="楷体" w:cs="楷体"/>
      <w:color w:val="000000"/>
      <w:sz w:val="22"/>
      <w:szCs w:val="22"/>
      <w:u w:val="none"/>
      <w:vertAlign w:val="superscript"/>
    </w:rPr>
  </w:style>
  <w:style w:type="character" w:customStyle="1" w:styleId="22">
    <w:name w:val="font21"/>
    <w:basedOn w:val="16"/>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11"/>
    <w:basedOn w:val="16"/>
    <w:qFormat/>
    <w:uiPriority w:val="0"/>
    <w:rPr>
      <w:rFonts w:hint="eastAsia" w:ascii="宋体" w:hAnsi="宋体" w:eastAsia="宋体" w:cs="宋体"/>
      <w:color w:val="000000"/>
      <w:sz w:val="24"/>
      <w:szCs w:val="24"/>
      <w:u w:val="none"/>
    </w:rPr>
  </w:style>
  <w:style w:type="paragraph" w:customStyle="1" w:styleId="29">
    <w:name w:val="Table Text"/>
    <w:basedOn w:val="1"/>
    <w:semiHidden/>
    <w:qFormat/>
    <w:uiPriority w:val="0"/>
    <w:rPr>
      <w:rFonts w:ascii="宋体" w:hAnsi="宋体" w:eastAsia="宋体" w:cs="宋体"/>
      <w:sz w:val="26"/>
      <w:szCs w:val="26"/>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6108</Words>
  <Characters>6318</Characters>
  <Lines>0</Lines>
  <Paragraphs>0</Paragraphs>
  <TotalTime>0</TotalTime>
  <ScaleCrop>false</ScaleCrop>
  <LinksUpToDate>false</LinksUpToDate>
  <CharactersWithSpaces>7009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2025-07-23T06:38:33Z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