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bookmarkStart w:id="7" w:name="_GoBack"/>
      <w:bookmarkEnd w:id="7"/>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项目名称：中西医结合科定制办公家具（第二次）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3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435"/>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1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18"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0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404"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15" w:type="pct"/>
            <w:vAlign w:val="center"/>
          </w:tcPr>
          <w:p w14:paraId="25DC197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定制办公家具</w:t>
            </w:r>
          </w:p>
        </w:tc>
        <w:tc>
          <w:tcPr>
            <w:tcW w:w="718"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404"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32959</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863"/>
        <w:gridCol w:w="2048"/>
        <w:gridCol w:w="3479"/>
        <w:gridCol w:w="1095"/>
        <w:gridCol w:w="510"/>
        <w:gridCol w:w="990"/>
        <w:gridCol w:w="1347"/>
      </w:tblGrid>
      <w:tr w14:paraId="53D4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8A5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86E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产品名称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73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参考样式</w:t>
            </w:r>
          </w:p>
        </w:tc>
        <w:tc>
          <w:tcPr>
            <w:tcW w:w="3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6A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73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w:t>
            </w:r>
            <w:r>
              <w:rPr>
                <w:rFonts w:hint="eastAsia" w:ascii="方正仿宋_GBK" w:hAnsi="方正仿宋_GBK" w:eastAsia="方正仿宋_GBK" w:cs="方正仿宋_GBK"/>
                <w:b/>
                <w:bCs/>
                <w:color w:val="auto"/>
                <w:kern w:val="0"/>
                <w:sz w:val="28"/>
                <w:szCs w:val="28"/>
                <w:highlight w:val="none"/>
                <w:lang w:val="en-US" w:eastAsia="zh-CN"/>
              </w:rPr>
              <w:t>mm</w:t>
            </w:r>
            <w:r>
              <w:rPr>
                <w:rFonts w:hint="eastAsia" w:ascii="方正仿宋_GBK" w:hAnsi="方正仿宋_GBK" w:eastAsia="方正仿宋_GBK" w:cs="方正仿宋_GBK"/>
                <w:b/>
                <w:bCs/>
                <w:kern w:val="0"/>
                <w:sz w:val="28"/>
                <w:szCs w:val="28"/>
                <w:highlight w:val="none"/>
                <w:lang w:val="en-US" w:eastAsia="zh-CN"/>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679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5A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B4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（元）</w:t>
            </w:r>
          </w:p>
        </w:tc>
      </w:tr>
      <w:tr w14:paraId="1ED1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3EB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0A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定制办公桌</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34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64590" cy="1398905"/>
                  <wp:effectExtent l="0" t="0" r="16510" b="1079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164590" cy="1398905"/>
                          </a:xfrm>
                          <a:prstGeom prst="rect">
                            <a:avLst/>
                          </a:prstGeom>
                          <a:noFill/>
                          <a:ln w="9525">
                            <a:noFill/>
                          </a:ln>
                        </pic:spPr>
                      </pic:pic>
                    </a:graphicData>
                  </a:graphic>
                </wp:inline>
              </w:drawing>
            </w:r>
          </w:p>
        </w:tc>
        <w:tc>
          <w:tcPr>
            <w:tcW w:w="3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A1E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highlight w:val="none"/>
                <w:u w:val="none"/>
              </w:rPr>
            </w:pPr>
            <w:r>
              <w:rPr>
                <w:rFonts w:hint="eastAsia" w:ascii="方正仿宋_GBK" w:hAnsi="方正仿宋_GBK" w:eastAsia="方正仿宋_GBK" w:cs="方正仿宋_GBK"/>
                <w:b/>
                <w:bCs/>
                <w:kern w:val="0"/>
                <w:sz w:val="28"/>
                <w:szCs w:val="28"/>
                <w:highlight w:val="none"/>
                <w:lang w:val="en-US" w:eastAsia="zh-CN"/>
              </w:rPr>
              <w:t>板式材质：采用绿色环保的E0级MFC板，需满足表面装饰层纹理清晰、自然，色彩亮丽、饱满，整体真实感强、光泽柔和、手感细腻;具有不易燃、耐磨、防污、硬度高、刚性好、不易变形等条件;台面厚度25mm；甲醛释放量≤0.1mg/L。投标时提供第三方检测机构出具的有效检验报告复印件佐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封边胶：采用优质环保的环保胶，苯、甲苯+二甲苯、甲苯二异氰酸酯≤0.005g/kg，游离甲醛≤0.005g/kg，总挥发性有机物≤5g/L。投标时提供第三方检测机构出具的有效检验报告复印件佐证。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PVC封边条：采用优质的2mm厚，桌面同色四周、走线孔、隐秘部位封边处理。符合QB/T 4463-2013《家具用封边条技术要求》的标准，其中甲醛释放量、可迁移元素（可溶性重金属）铅 (Pb)、镉 (Cd)、铬 (Cr)、汞(Hg)、砷(As)、钡(Ba)、锑(Sb)、硒(Se)均不得检出。投标时提供第三方检测机构出具的有效检验报告复印件佐证。</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所有外部封边采用与板件颜色、纹理配套的2mm厚优质PVC封边带。</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五金配件：液压合页、导轨、中控防撞排锁、全折叠抽柜锁，三合一五金连接件，拼接间隙细小且均匀。</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所有材质均需符合现行有效的标准。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91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1340*600*750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B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75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CE6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850</w:t>
            </w:r>
          </w:p>
        </w:tc>
      </w:tr>
      <w:tr w14:paraId="6DF9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F5E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F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0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04900" cy="12001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1104900" cy="1200150"/>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F7B5">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68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1370*350*800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907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90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1.096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9C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64D2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C7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68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9A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32840" cy="1092835"/>
                  <wp:effectExtent l="0" t="0" r="10160" b="1206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1132840" cy="109283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E636">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0A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2790*880*600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F39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6FF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2.455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783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17D0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2A4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C4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5A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57605" cy="1282065"/>
                  <wp:effectExtent l="0" t="0" r="4445" b="13335"/>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7"/>
                          <a:stretch>
                            <a:fillRect/>
                          </a:stretch>
                        </pic:blipFill>
                        <pic:spPr>
                          <a:xfrm>
                            <a:off x="0" y="0"/>
                            <a:ext cx="1157605" cy="128206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60EB">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2B7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2700*2790*600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6C4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B2C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7.533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E1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47FD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5A6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479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8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23950" cy="1265555"/>
                  <wp:effectExtent l="0" t="0" r="0" b="10795"/>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1123950" cy="126555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FED7">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4D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2970*2790*600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B1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1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7.533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3E5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02EB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98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52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定制办公桌</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256030" cy="1532890"/>
                  <wp:effectExtent l="0" t="0" r="1270" b="1016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9"/>
                          <a:stretch>
                            <a:fillRect/>
                          </a:stretch>
                        </pic:blipFill>
                        <pic:spPr>
                          <a:xfrm>
                            <a:off x="0" y="0"/>
                            <a:ext cx="1256030" cy="1532890"/>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D5C6">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D1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1800*700*750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E15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FE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4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1400</w:t>
            </w:r>
          </w:p>
        </w:tc>
      </w:tr>
      <w:tr w14:paraId="53A6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9C1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A3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2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276985" cy="1266825"/>
                  <wp:effectExtent l="0" t="0" r="18415" b="9525"/>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0"/>
                          <a:stretch>
                            <a:fillRect/>
                          </a:stretch>
                        </pic:blipFill>
                        <pic:spPr>
                          <a:xfrm>
                            <a:off x="0" y="0"/>
                            <a:ext cx="1276985" cy="126682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6551">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B04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2710*1600*400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6F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EA8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4.32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03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2A01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0FA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2DC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F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264920" cy="1274445"/>
                  <wp:effectExtent l="0" t="0" r="11430" b="1905"/>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1"/>
                          <a:stretch>
                            <a:fillRect/>
                          </a:stretch>
                        </pic:blipFill>
                        <pic:spPr>
                          <a:xfrm>
                            <a:off x="0" y="0"/>
                            <a:ext cx="1264920" cy="127444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1BDC">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AB7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2710*4300*400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587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D14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11.653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C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50CA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262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29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7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301115" cy="1256030"/>
                  <wp:effectExtent l="0" t="0" r="13335" b="1270"/>
                  <wp:docPr id="1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IMG_264"/>
                          <pic:cNvPicPr>
                            <a:picLocks noChangeAspect="1"/>
                          </pic:cNvPicPr>
                        </pic:nvPicPr>
                        <pic:blipFill>
                          <a:blip r:embed="rId12"/>
                          <a:stretch>
                            <a:fillRect/>
                          </a:stretch>
                        </pic:blipFill>
                        <pic:spPr>
                          <a:xfrm>
                            <a:off x="0" y="0"/>
                            <a:ext cx="1301115" cy="1256030"/>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65EC">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47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1400*2360*600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F7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FA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3.54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4E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7818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F85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C7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定制柜子</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2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190625" cy="1205865"/>
                  <wp:effectExtent l="0" t="0" r="9525" b="13335"/>
                  <wp:docPr id="6"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65"/>
                          <pic:cNvPicPr>
                            <a:picLocks noChangeAspect="1"/>
                          </pic:cNvPicPr>
                        </pic:nvPicPr>
                        <pic:blipFill>
                          <a:blip r:embed="rId13"/>
                          <a:stretch>
                            <a:fillRect/>
                          </a:stretch>
                        </pic:blipFill>
                        <pic:spPr>
                          <a:xfrm>
                            <a:off x="0" y="0"/>
                            <a:ext cx="1190625" cy="1205865"/>
                          </a:xfrm>
                          <a:prstGeom prst="rect">
                            <a:avLst/>
                          </a:prstGeom>
                          <a:noFill/>
                          <a:ln w="9525">
                            <a:noFill/>
                          </a:ln>
                        </pic:spPr>
                      </pic:pic>
                    </a:graphicData>
                  </a:graphic>
                </wp:inline>
              </w:drawing>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475E">
            <w:pPr>
              <w:jc w:val="left"/>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20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2890*2360*600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882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7.1672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9BA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680</w:t>
            </w:r>
          </w:p>
        </w:tc>
      </w:tr>
      <w:tr w14:paraId="7A23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0545">
            <w:pPr>
              <w:pageBreakBefore w:val="0"/>
              <w:widowControl/>
              <w:kinsoku/>
              <w:wordWrap/>
              <w:overflowPunct/>
              <w:topLinePunct w:val="0"/>
              <w:autoSpaceDE/>
              <w:autoSpaceDN/>
              <w:bidi w:val="0"/>
              <w:adjustRightInd/>
              <w:snapToGrid/>
              <w:spacing w:line="240" w:lineRule="auto"/>
              <w:ind w:firstLine="0" w:firstLineChars="0"/>
              <w:jc w:val="righ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合计为32959元</w:t>
            </w:r>
          </w:p>
        </w:tc>
      </w:tr>
    </w:tbl>
    <w:p w14:paraId="3B12BB70">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本项目最高限价32959元。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材料费、清洁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中选后，接采购人通知后</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sz w:val="32"/>
          <w:szCs w:val="32"/>
          <w:highlight w:val="none"/>
          <w:lang w:val="en-US" w:eastAsia="zh-CN"/>
        </w:rPr>
        <w:t>天内完成安装并验收合格。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（2）质保要求：所有产品质保期不少于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lang w:val="en-US" w:eastAsia="zh-CN"/>
        </w:rPr>
        <w:t>年（时间从双方验收确认签字入库起开始计算），质保期内非人为损坏免费</w:t>
      </w:r>
      <w:r>
        <w:rPr>
          <w:rFonts w:hint="eastAsia" w:ascii="方正仿宋_GBK" w:hAnsi="方正仿宋_GBK" w:eastAsia="方正仿宋_GBK" w:cs="方正仿宋_GBK"/>
          <w:b w:val="0"/>
          <w:bCs w:val="0"/>
          <w:color w:val="auto"/>
          <w:kern w:val="0"/>
          <w:sz w:val="32"/>
          <w:szCs w:val="32"/>
          <w:highlight w:val="none"/>
          <w:lang w:val="en-US" w:eastAsia="zh-CN"/>
        </w:rPr>
        <w:t>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（3）故障响应：产品出现任何故障，供应商应30分钟提供电话响应，2小时到达医院处置。</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229304"/>
      <w:bookmarkStart w:id="2" w:name="_Toc237057793"/>
      <w:bookmarkStart w:id="3" w:name="_Toc175017344"/>
      <w:bookmarkStart w:id="4" w:name="_Toc173677399"/>
      <w:bookmarkStart w:id="5" w:name="_Toc156196472"/>
      <w:bookmarkStart w:id="6" w:name="_Toc128014297"/>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1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19569C4"/>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6472FC"/>
    <w:rsid w:val="1CE4012E"/>
    <w:rsid w:val="1CF00EFC"/>
    <w:rsid w:val="1F2F00AB"/>
    <w:rsid w:val="2027068C"/>
    <w:rsid w:val="205210D9"/>
    <w:rsid w:val="20746E51"/>
    <w:rsid w:val="21426D4A"/>
    <w:rsid w:val="215F0650"/>
    <w:rsid w:val="233D75DC"/>
    <w:rsid w:val="236757CC"/>
    <w:rsid w:val="23FB11F4"/>
    <w:rsid w:val="2657371E"/>
    <w:rsid w:val="28256D6A"/>
    <w:rsid w:val="28275AF0"/>
    <w:rsid w:val="28EC134D"/>
    <w:rsid w:val="29AE2A56"/>
    <w:rsid w:val="2C3529EE"/>
    <w:rsid w:val="2C5002AE"/>
    <w:rsid w:val="2CCA628B"/>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F54CD1"/>
    <w:rsid w:val="799B64FC"/>
    <w:rsid w:val="79A541CE"/>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4102</Words>
  <Characters>4441</Characters>
  <Lines>0</Lines>
  <Paragraphs>0</Paragraphs>
  <TotalTime>42</TotalTime>
  <ScaleCrop>false</ScaleCrop>
  <LinksUpToDate>false</LinksUpToDate>
  <CharactersWithSpaces>4482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2025-12-15T07:01:24Z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