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4C85F10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项目名称：会议室家具（第二次</w:t>
      </w:r>
      <w:bookmarkStart w:id="7" w:name="_GoBack"/>
      <w:bookmarkEnd w:id="7"/>
      <w:r>
        <w:rPr>
          <w:rFonts w:hint="eastAsia"/>
          <w:sz w:val="44"/>
          <w:szCs w:val="44"/>
          <w:highlight w:val="none"/>
          <w:lang w:val="en-US" w:eastAsia="zh-CN"/>
        </w:rPr>
        <w:t>）</w:t>
      </w:r>
    </w:p>
    <w:p w14:paraId="0355F30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 xml:space="preserve">项目编号：BSRMYY-YNCG-2026-06008 </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4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97"/>
        <w:gridCol w:w="1446"/>
        <w:gridCol w:w="989"/>
        <w:gridCol w:w="2109"/>
        <w:gridCol w:w="1494"/>
      </w:tblGrid>
      <w:tr w14:paraId="7E6D7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543"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27"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66"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7"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855" w:type="pct"/>
            <w:vAlign w:val="center"/>
          </w:tcPr>
          <w:p w14:paraId="01B9DA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1B39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bottom w:val="single" w:color="auto" w:sz="4" w:space="0"/>
            </w:tcBorders>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会议条桌（带滑轮）</w:t>
            </w:r>
          </w:p>
        </w:tc>
        <w:tc>
          <w:tcPr>
            <w:tcW w:w="827" w:type="pct"/>
            <w:tcBorders>
              <w:bottom w:val="single" w:color="auto" w:sz="4" w:space="0"/>
            </w:tcBorders>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24</w:t>
            </w:r>
          </w:p>
        </w:tc>
        <w:tc>
          <w:tcPr>
            <w:tcW w:w="566" w:type="pct"/>
            <w:tcBorders>
              <w:bottom w:val="single" w:color="auto" w:sz="4" w:space="0"/>
            </w:tcBorders>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张</w:t>
            </w:r>
          </w:p>
        </w:tc>
        <w:tc>
          <w:tcPr>
            <w:tcW w:w="1207" w:type="pct"/>
            <w:tcBorders>
              <w:bottom w:val="single" w:color="auto" w:sz="4" w:space="0"/>
            </w:tcBorders>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1230</w:t>
            </w:r>
          </w:p>
        </w:tc>
        <w:tc>
          <w:tcPr>
            <w:tcW w:w="855" w:type="pct"/>
            <w:vMerge w:val="restart"/>
            <w:vAlign w:val="center"/>
          </w:tcPr>
          <w:p w14:paraId="4CC138C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54960</w:t>
            </w:r>
          </w:p>
        </w:tc>
      </w:tr>
      <w:tr w14:paraId="5D37A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top w:val="single" w:color="auto" w:sz="4" w:space="0"/>
              <w:left w:val="single" w:color="auto" w:sz="4" w:space="0"/>
              <w:bottom w:val="single" w:color="auto" w:sz="4" w:space="0"/>
            </w:tcBorders>
            <w:vAlign w:val="center"/>
          </w:tcPr>
          <w:p w14:paraId="15D0E2F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会议椅</w:t>
            </w:r>
          </w:p>
        </w:tc>
        <w:tc>
          <w:tcPr>
            <w:tcW w:w="827" w:type="pct"/>
            <w:tcBorders>
              <w:top w:val="single" w:color="auto" w:sz="4" w:space="0"/>
              <w:bottom w:val="single" w:color="auto" w:sz="4" w:space="0"/>
            </w:tcBorders>
            <w:vAlign w:val="center"/>
          </w:tcPr>
          <w:p w14:paraId="6FAE84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w:t>
            </w:r>
          </w:p>
        </w:tc>
        <w:tc>
          <w:tcPr>
            <w:tcW w:w="566" w:type="pct"/>
            <w:tcBorders>
              <w:top w:val="single" w:color="auto" w:sz="4" w:space="0"/>
              <w:bottom w:val="single" w:color="auto" w:sz="4" w:space="0"/>
            </w:tcBorders>
            <w:vAlign w:val="center"/>
          </w:tcPr>
          <w:p w14:paraId="716535B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把</w:t>
            </w:r>
          </w:p>
        </w:tc>
        <w:tc>
          <w:tcPr>
            <w:tcW w:w="1207" w:type="pct"/>
            <w:tcBorders>
              <w:top w:val="single" w:color="auto" w:sz="4" w:space="0"/>
              <w:bottom w:val="single" w:color="auto" w:sz="4" w:space="0"/>
              <w:right w:val="single" w:color="auto" w:sz="4" w:space="0"/>
            </w:tcBorders>
            <w:vAlign w:val="center"/>
          </w:tcPr>
          <w:p w14:paraId="2EF3C97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530</w:t>
            </w:r>
          </w:p>
        </w:tc>
        <w:tc>
          <w:tcPr>
            <w:tcW w:w="855" w:type="pct"/>
            <w:vMerge w:val="continue"/>
            <w:tcBorders>
              <w:bottom w:val="single" w:color="auto" w:sz="4" w:space="0"/>
            </w:tcBorders>
            <w:vAlign w:val="center"/>
          </w:tcPr>
          <w:p w14:paraId="38C4F5A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3AC97B9E">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488"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145"/>
        <w:gridCol w:w="1260"/>
        <w:gridCol w:w="1260"/>
        <w:gridCol w:w="5013"/>
      </w:tblGrid>
      <w:tr w14:paraId="69E2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3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569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参考图片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34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21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规格</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193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材质</w:t>
            </w:r>
          </w:p>
        </w:tc>
      </w:tr>
      <w:tr w14:paraId="41AE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63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AE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1641475</wp:posOffset>
                  </wp:positionV>
                  <wp:extent cx="1139190" cy="1134110"/>
                  <wp:effectExtent l="0" t="0" r="3810" b="889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4"/>
                          <a:stretch>
                            <a:fillRect/>
                          </a:stretch>
                        </pic:blipFill>
                        <pic:spPr>
                          <a:xfrm>
                            <a:off x="0" y="0"/>
                            <a:ext cx="1139190" cy="1134110"/>
                          </a:xfrm>
                          <a:prstGeom prst="rect">
                            <a:avLst/>
                          </a:prstGeom>
                          <a:noFill/>
                          <a:ln>
                            <a:noFill/>
                          </a:ln>
                        </pic:spPr>
                      </pic:pic>
                    </a:graphicData>
                  </a:graphic>
                </wp:anchor>
              </w:drawing>
            </w:r>
            <w:r>
              <w:rPr>
                <w:rFonts w:hint="eastAsia" w:ascii="方正仿宋_GBK" w:hAnsi="方正仿宋_GBK" w:eastAsia="方正仿宋_GBK" w:cs="方正仿宋_GBK"/>
                <w:b/>
                <w:bCs/>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85725</wp:posOffset>
                  </wp:positionV>
                  <wp:extent cx="1162685" cy="1497965"/>
                  <wp:effectExtent l="0" t="0" r="18415" b="6985"/>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5"/>
                          <a:stretch>
                            <a:fillRect/>
                          </a:stretch>
                        </pic:blipFill>
                        <pic:spPr>
                          <a:xfrm>
                            <a:off x="0" y="0"/>
                            <a:ext cx="1162685" cy="1497965"/>
                          </a:xfrm>
                          <a:prstGeom prst="rect">
                            <a:avLst/>
                          </a:prstGeom>
                          <a:noFill/>
                          <a:ln>
                            <a:noFill/>
                          </a:ln>
                        </pic:spPr>
                      </pic:pic>
                    </a:graphicData>
                  </a:graphic>
                </wp:anchor>
              </w:drawing>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7A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会议条桌</w:t>
            </w:r>
            <w:r>
              <w:rPr>
                <w:rFonts w:hint="eastAsia" w:ascii="方正仿宋_GBK" w:hAnsi="方正仿宋_GBK" w:eastAsia="方正仿宋_GBK" w:cs="方正仿宋_GBK"/>
                <w:b/>
                <w:bCs/>
                <w:kern w:val="0"/>
                <w:sz w:val="24"/>
                <w:szCs w:val="24"/>
                <w:highlight w:val="none"/>
                <w:lang w:val="en-US" w:eastAsia="zh-CN"/>
              </w:rPr>
              <w:t>（带滑轮）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64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1200*600*750</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r>
              <w:rPr>
                <w:rStyle w:val="30"/>
                <w:rFonts w:hint="eastAsia" w:ascii="方正仿宋_GBK" w:hAnsi="方正仿宋_GBK" w:eastAsia="方正仿宋_GBK" w:cs="方正仿宋_GBK"/>
                <w:b/>
                <w:bCs/>
                <w:sz w:val="24"/>
                <w:szCs w:val="24"/>
                <w:highlight w:val="none"/>
                <w:lang w:val="en-US" w:eastAsia="zh-CN" w:bidi="ar"/>
              </w:rPr>
              <w:t>桌面厚度≥36mm，中间净空高≥580mm，可拼装单元，桌面配置金属走线口或预留多媒体线</w:t>
            </w:r>
            <w:r>
              <w:rPr>
                <w:rStyle w:val="31"/>
                <w:rFonts w:hint="eastAsia" w:ascii="方正仿宋_GBK" w:hAnsi="方正仿宋_GBK" w:eastAsia="方正仿宋_GBK" w:cs="方正仿宋_GBK"/>
                <w:b/>
                <w:bCs/>
                <w:sz w:val="24"/>
                <w:szCs w:val="24"/>
                <w:highlight w:val="none"/>
                <w:lang w:val="en-US" w:eastAsia="zh-CN" w:bidi="ar"/>
              </w:rPr>
              <w:t>盒及设备孔</w:t>
            </w:r>
            <w:r>
              <w:rPr>
                <w:rStyle w:val="30"/>
                <w:rFonts w:hint="eastAsia" w:ascii="方正仿宋_GBK" w:hAnsi="方正仿宋_GBK" w:eastAsia="方正仿宋_GBK" w:cs="方正仿宋_GBK"/>
                <w:b/>
                <w:bCs/>
                <w:sz w:val="24"/>
                <w:szCs w:val="24"/>
                <w:highlight w:val="none"/>
                <w:lang w:val="en-US" w:eastAsia="zh-CN" w:bidi="ar"/>
              </w:rPr>
              <w:t>;颜色白色。</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2.基材:采用E1级</w:t>
            </w:r>
            <w:r>
              <w:rPr>
                <w:rStyle w:val="30"/>
                <w:rFonts w:hint="eastAsia" w:ascii="方正仿宋_GBK" w:hAnsi="方正仿宋_GBK" w:eastAsia="方正仿宋_GBK" w:cs="方正仿宋_GBK"/>
                <w:b/>
                <w:bCs/>
                <w:sz w:val="24"/>
                <w:szCs w:val="24"/>
                <w:highlight w:val="none"/>
                <w:lang w:val="en-US" w:eastAsia="zh-CN" w:bidi="ar"/>
              </w:rPr>
              <w:t>环保优质三聚氰胺饰面刨花板，板材厚度≥36mm，甲醛释放量≤0.05mg/m</w:t>
            </w:r>
            <w:r>
              <w:rPr>
                <w:rStyle w:val="32"/>
                <w:rFonts w:hint="eastAsia" w:ascii="方正仿宋_GBK" w:hAnsi="方正仿宋_GBK" w:eastAsia="方正仿宋_GBK" w:cs="方正仿宋_GBK"/>
                <w:b/>
                <w:bCs/>
                <w:sz w:val="24"/>
                <w:szCs w:val="24"/>
                <w:highlight w:val="none"/>
                <w:lang w:val="en-US" w:eastAsia="zh-CN" w:bidi="ar"/>
              </w:rPr>
              <w:t>3</w:t>
            </w:r>
            <w:r>
              <w:rPr>
                <w:rStyle w:val="30"/>
                <w:rFonts w:hint="eastAsia" w:ascii="方正仿宋_GBK" w:hAnsi="方正仿宋_GBK" w:eastAsia="方正仿宋_GBK" w:cs="方正仿宋_GBK"/>
                <w:b/>
                <w:bCs/>
                <w:sz w:val="24"/>
                <w:szCs w:val="24"/>
                <w:highlight w:val="none"/>
                <w:lang w:val="en-US" w:eastAsia="zh-CN" w:bidi="ar"/>
              </w:rPr>
              <w:t>，总挥发性有机化合物(TVOC)释放量≤0.1mg/m</w:t>
            </w:r>
            <w:r>
              <w:rPr>
                <w:rStyle w:val="32"/>
                <w:rFonts w:hint="eastAsia" w:ascii="方正仿宋_GBK" w:hAnsi="方正仿宋_GBK" w:eastAsia="方正仿宋_GBK" w:cs="方正仿宋_GBK"/>
                <w:b/>
                <w:bCs/>
                <w:sz w:val="24"/>
                <w:szCs w:val="24"/>
                <w:highlight w:val="none"/>
                <w:lang w:val="en-US" w:eastAsia="zh-CN" w:bidi="ar"/>
              </w:rPr>
              <w:t>2</w:t>
            </w:r>
            <w:r>
              <w:rPr>
                <w:rStyle w:val="30"/>
                <w:rFonts w:hint="eastAsia" w:ascii="方正仿宋_GBK" w:hAnsi="方正仿宋_GBK" w:eastAsia="方正仿宋_GBK" w:cs="方正仿宋_GBK"/>
                <w:b/>
                <w:bCs/>
                <w:sz w:val="24"/>
                <w:szCs w:val="24"/>
                <w:highlight w:val="none"/>
                <w:lang w:val="en-US" w:eastAsia="zh-CN" w:bidi="ar"/>
              </w:rPr>
              <w:t>。（投标时提供第三方检测机构出具的有效的刨花板检验检测报告）。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3.PVC封边（封边条）：符合QB/T 4463-2025《家具用封边条》检测标准，耐干热性≥四级，耐龟裂性≥4级，耐冷热循环性应无裂纹、无鼓泡，耐光色牢度（灰色样卡）≥4级，塑料封边条甲醛释放量≤0.5mg/L。（投标时提供第三方检测机构出具的有效的PVC封边（封边条）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4.桌架:采用钢制桌架，管壁壁厚≥1.5mm，表面</w:t>
            </w:r>
            <w:r>
              <w:rPr>
                <w:rStyle w:val="30"/>
                <w:rFonts w:hint="eastAsia" w:ascii="方正仿宋_GBK" w:hAnsi="方正仿宋_GBK" w:eastAsia="方正仿宋_GBK" w:cs="方正仿宋_GBK"/>
                <w:b/>
                <w:bCs/>
                <w:sz w:val="24"/>
                <w:szCs w:val="24"/>
                <w:highlight w:val="none"/>
                <w:lang w:val="en-US" w:eastAsia="zh-CN" w:bidi="ar"/>
              </w:rPr>
              <w:t>防锈喷涂</w:t>
            </w:r>
            <w:r>
              <w:rPr>
                <w:rStyle w:val="31"/>
                <w:rFonts w:hint="eastAsia" w:ascii="方正仿宋_GBK" w:hAnsi="方正仿宋_GBK" w:eastAsia="方正仿宋_GBK" w:cs="方正仿宋_GBK"/>
                <w:b/>
                <w:bCs/>
                <w:sz w:val="24"/>
                <w:szCs w:val="24"/>
                <w:highlight w:val="none"/>
                <w:lang w:val="en-US" w:eastAsia="zh-CN" w:bidi="ar"/>
              </w:rPr>
              <w:t>处理，配优质尼龙脚垫。</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5.胶粘剂:采用低VOC、无甲醛或无醛系胶种，游离甲醛、苯、甲苯+二甲苯、总挥发性有机符合HG/T 6404-2025《家具用胶粘剂》要求。</w:t>
            </w:r>
          </w:p>
        </w:tc>
      </w:tr>
      <w:tr w14:paraId="0555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2F9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3B39">
            <w:pPr>
              <w:jc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-433070</wp:posOffset>
                  </wp:positionV>
                  <wp:extent cx="1273810" cy="1487805"/>
                  <wp:effectExtent l="0" t="0" r="2540" b="17145"/>
                  <wp:wrapNone/>
                  <wp:docPr id="9" name="图片_1_SpCnt_1"/>
                  <wp:cNvGraphicFramePr/>
                  <a:graphic xmlns:a="http://schemas.openxmlformats.org/drawingml/2006/main">
                    <a:graphicData uri="http://schemas.openxmlformats.org/drawingml/2006/picture">
                      <pic:pic xmlns:pic="http://schemas.openxmlformats.org/drawingml/2006/picture">
                        <pic:nvPicPr>
                          <pic:cNvPr id="9" name="图片_1_SpCnt_1"/>
                          <pic:cNvPicPr/>
                        </pic:nvPicPr>
                        <pic:blipFill>
                          <a:blip r:embed="rId6"/>
                          <a:stretch>
                            <a:fillRect/>
                          </a:stretch>
                        </pic:blipFill>
                        <pic:spPr>
                          <a:xfrm>
                            <a:off x="0" y="0"/>
                            <a:ext cx="1273810" cy="1487805"/>
                          </a:xfrm>
                          <a:prstGeom prst="rect">
                            <a:avLst/>
                          </a:prstGeom>
                          <a:noFill/>
                          <a:ln>
                            <a:noFill/>
                          </a:ln>
                        </pic:spPr>
                      </pic:pic>
                    </a:graphicData>
                  </a:graphic>
                </wp:anchor>
              </w:drawing>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4C3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会议椅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11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1.网布：符合GB 18401-2010《国家纺织产品基本安全技术规范》、GB/T 3921-2008《纺织品 色牢度试验 耐皂洗色牢度》、GB/T 3920-2008《纺织品色牢度试验 耐摩擦色牢度》检测标准，无异味，</w:t>
            </w:r>
            <w:r>
              <w:rPr>
                <w:rStyle w:val="30"/>
                <w:rFonts w:hint="eastAsia" w:ascii="方正仿宋_GBK" w:hAnsi="方正仿宋_GBK" w:eastAsia="方正仿宋_GBK" w:cs="方正仿宋_GBK"/>
                <w:b/>
                <w:bCs/>
                <w:sz w:val="24"/>
                <w:szCs w:val="24"/>
                <w:highlight w:val="none"/>
                <w:lang w:val="en-US" w:eastAsia="zh-CN" w:bidi="ar"/>
              </w:rPr>
              <w:t>pH值4.0~8.5，甲醛含量≤75mg/kg</w:t>
            </w:r>
            <w:r>
              <w:rPr>
                <w:rStyle w:val="31"/>
                <w:rFonts w:hint="eastAsia" w:ascii="方正仿宋_GBK" w:hAnsi="方正仿宋_GBK" w:eastAsia="方正仿宋_GBK" w:cs="方正仿宋_GBK"/>
                <w:b/>
                <w:bCs/>
                <w:sz w:val="24"/>
                <w:szCs w:val="24"/>
                <w:highlight w:val="none"/>
                <w:lang w:val="en-US" w:eastAsia="zh-CN" w:bidi="ar"/>
              </w:rPr>
              <w:t>，耐皂洗色牢度:变色≥4级，沾色≥4级，耐干摩擦色牢度≥4级，耐湿摩擦色牢度≥4级。（投标时提供第三方检测机构出具的有效的网布检验检测报告）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2.海绵：符合QB/T 2080-2018《高回弹软质聚氨酯泡沫塑料》、GB/T 10802-2023《通用软质聚氨酯泡沫塑料》、QB/T 2280-2016《办公家具办公椅》检测标准，回弹率≥55%，拉伸强度≥90kPa，断裂伸长率≥100%，撕裂强度≥1.8N/cm，干热老化后拉伸强度≥55kPa，湿热老化后拉伸强度≥55kPa；TVOC≤0.5mg/m²h；甲醛释放量≤0.12mg/m²h。（投标时提供第三方检测机构出具的有效的海绵检验检测报告）</w:t>
            </w:r>
            <w:r>
              <w:rPr>
                <w:rStyle w:val="31"/>
                <w:rFonts w:hint="eastAsia" w:ascii="方正仿宋_GBK" w:hAnsi="方正仿宋_GBK" w:eastAsia="方正仿宋_GBK" w:cs="方正仿宋_GBK"/>
                <w:b/>
                <w:bCs/>
                <w:sz w:val="24"/>
                <w:szCs w:val="24"/>
                <w:highlight w:val="none"/>
                <w:lang w:val="en-US" w:eastAsia="zh-CN" w:bidi="ar"/>
              </w:rPr>
              <w:br w:type="textWrapping"/>
            </w:r>
            <w:r>
              <w:rPr>
                <w:rStyle w:val="31"/>
                <w:rFonts w:hint="eastAsia" w:ascii="方正仿宋_GBK" w:hAnsi="方正仿宋_GBK" w:eastAsia="方正仿宋_GBK" w:cs="方正仿宋_GBK"/>
                <w:b/>
                <w:bCs/>
                <w:sz w:val="24"/>
                <w:szCs w:val="24"/>
                <w:highlight w:val="none"/>
                <w:lang w:val="en-US" w:eastAsia="zh-CN" w:bidi="ar"/>
              </w:rPr>
              <w:t>3.椅脚：黑色喷涂椅架。</w:t>
            </w:r>
          </w:p>
        </w:tc>
      </w:tr>
    </w:tbl>
    <w:p w14:paraId="547D9D72">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备注：会议椅需通过框架协议下单采购，供应商应入围框架协议库。</w:t>
      </w:r>
    </w:p>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因办公家具家具属于政府采购框架协议中的物资，供应商应具有框架协议资质。</w:t>
      </w:r>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w:t>
      </w:r>
      <w:r>
        <w:rPr>
          <w:rFonts w:hint="eastAsia" w:ascii="方正仿宋_GBK" w:hAnsi="方正仿宋_GBK" w:eastAsia="方正仿宋_GBK" w:cs="方正仿宋_GBK"/>
          <w:color w:val="auto"/>
          <w:kern w:val="0"/>
          <w:sz w:val="32"/>
          <w:szCs w:val="32"/>
          <w:highlight w:val="none"/>
          <w:lang w:val="en-US" w:eastAsia="zh-CN"/>
        </w:rPr>
        <w:t>54960元</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本项目要求供应商自中选后，在接到采购方通知后30日内完成安装并验收合格。合同签订一年内供应商按照本次成交单价和商务条件随时保障采购人的续购需求。</w:t>
      </w:r>
    </w:p>
    <w:p w14:paraId="5BA598E3">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样品要求</w:t>
      </w:r>
    </w:p>
    <w:p w14:paraId="57B492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将根据拟中标供应商顺序通知供应商提供桌子一张、椅子一把做为样品，接收人后勤保障部戈老师（电话：18725931759）、行政办杨老师（电话：13008327800）。样品接收时限以后续具体沟通为准，超时未提供样品的供应商视为放弃中选资格，拟成交供应商顺延至第二位。</w:t>
      </w:r>
    </w:p>
    <w:p w14:paraId="110894A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样品要求旨在查验样品是否与招标文件相符及有无其他质量问题，并以此作为双方签订合同的依据。样品查验后由采购方留存保管，供应商实际交付的产品需与样品保持一致，样品履约验收合格后退还或作为交付货物的一部分。</w:t>
      </w: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付款方式</w:t>
      </w:r>
    </w:p>
    <w:p w14:paraId="7B375B9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验收合格后一次性支付90%货款，待质保期结束后无息支付剩余10%货款，付款时供应商提供发票、验收单、送货单等。如发现供应商提供虚假发票将把供应商列入院内不良记录供应商库，同时采购人有权拒绝支付发票内容的款项，并向有关部门进行举报。</w:t>
      </w:r>
    </w:p>
    <w:p w14:paraId="350C4FD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由于璧山区各行政事业单位账户统一在重庆市璧山区财政局开设，采购人验收合格完成支付审批流程后，需向财政局提交资金支付申请，由财政按相关制度逐级审批后完成支付。</w:t>
      </w:r>
    </w:p>
    <w:p w14:paraId="7722DF9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（六）验收方案</w:t>
      </w:r>
    </w:p>
    <w:p w14:paraId="4C3DEF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进行安装调试，安装调试并试运行1个月无异常才作为最终验收。验收及使用中发现产品质量争议按照验收争议进行处理；验收争议时由采购人邀请第三方机构检测，费用由供应商承担。</w:t>
      </w:r>
    </w:p>
    <w:p w14:paraId="685941D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（七）售后服务</w:t>
      </w:r>
    </w:p>
    <w:p w14:paraId="767ACF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（1）生产日期要求：送货产品应为生产日期一年以内的全新产品。</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：全部产品质保期不低于五年，时间从双方验收确认签字入库起开始计算；质保期内非人为损坏免费更换。</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（2）故障响应：供应商应30分钟电话响应，2小时到达医院处置。</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4EC6142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无。</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3D05A04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60288"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7"/>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1312"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8"/>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D4BCF0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因办公家具家具属于政府采购框架协议中的物资，供应商应具有框架协议资质。</w:t>
      </w:r>
    </w:p>
    <w:p w14:paraId="695B17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014297"/>
      <w:bookmarkStart w:id="2" w:name="_Toc175017344"/>
      <w:bookmarkStart w:id="3" w:name="_Toc156196472"/>
      <w:bookmarkStart w:id="4" w:name="_Toc237057793"/>
      <w:bookmarkStart w:id="5" w:name="_Toc128229304"/>
      <w:bookmarkStart w:id="6" w:name="_Toc173677399"/>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C525F3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1C0B09B">
      <w:pPr>
        <w:rPr>
          <w:rFonts w:hint="default"/>
          <w:highlight w:val="none"/>
          <w:lang w:val="en-US" w:eastAsia="zh-CN"/>
        </w:rPr>
      </w:pPr>
    </w:p>
    <w:p w14:paraId="5D21056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8F9F87">
      <w:pPr>
        <w:rPr>
          <w:rFonts w:hint="eastAsia" w:ascii="微软雅黑" w:hAnsi="微软雅黑" w:eastAsia="微软雅黑"/>
          <w:b/>
          <w:bCs/>
          <w:sz w:val="32"/>
          <w:szCs w:val="32"/>
          <w:highlight w:val="none"/>
        </w:rPr>
      </w:pP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309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33E922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样品要求</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6FD30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115E2E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7DA427B">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1C038BA1">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ABADC3BC"/>
    <w:multiLevelType w:val="singleLevel"/>
    <w:tmpl w:val="ABADC3BC"/>
    <w:lvl w:ilvl="0" w:tentative="0">
      <w:start w:val="4"/>
      <w:numFmt w:val="chineseCounting"/>
      <w:suff w:val="nothing"/>
      <w:lvlText w:val="（%1）"/>
      <w:lvlJc w:val="left"/>
      <w:rPr>
        <w:rFonts w:hint="eastAsia"/>
      </w:rPr>
    </w:lvl>
  </w:abstractNum>
  <w:abstractNum w:abstractNumId="2">
    <w:nsid w:val="B25E35BA"/>
    <w:multiLevelType w:val="singleLevel"/>
    <w:tmpl w:val="B25E35BA"/>
    <w:lvl w:ilvl="0" w:tentative="0">
      <w:start w:val="2"/>
      <w:numFmt w:val="decimal"/>
      <w:lvlText w:val="%1."/>
      <w:lvlJc w:val="left"/>
      <w:pPr>
        <w:tabs>
          <w:tab w:val="left" w:pos="312"/>
        </w:tabs>
      </w:pPr>
    </w:lvl>
  </w:abstractNum>
  <w:abstractNum w:abstractNumId="3">
    <w:nsid w:val="E1EB6F2A"/>
    <w:multiLevelType w:val="singleLevel"/>
    <w:tmpl w:val="E1EB6F2A"/>
    <w:lvl w:ilvl="0" w:tentative="0">
      <w:start w:val="2"/>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1FE4005"/>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57371E"/>
    <w:rsid w:val="26686496"/>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4D010F"/>
    <w:rsid w:val="485B637D"/>
    <w:rsid w:val="48607974"/>
    <w:rsid w:val="48832656"/>
    <w:rsid w:val="496140CE"/>
    <w:rsid w:val="49995C78"/>
    <w:rsid w:val="4AE139DB"/>
    <w:rsid w:val="4B2941E0"/>
    <w:rsid w:val="4BDB0A24"/>
    <w:rsid w:val="4C31315D"/>
    <w:rsid w:val="4CB56EFC"/>
    <w:rsid w:val="4D001BA2"/>
    <w:rsid w:val="4D524E62"/>
    <w:rsid w:val="4EF37BD9"/>
    <w:rsid w:val="4F2E29BF"/>
    <w:rsid w:val="4F5F392D"/>
    <w:rsid w:val="4F6D75ED"/>
    <w:rsid w:val="507F03F4"/>
    <w:rsid w:val="50A33062"/>
    <w:rsid w:val="50DC6F8F"/>
    <w:rsid w:val="5116436F"/>
    <w:rsid w:val="5128323B"/>
    <w:rsid w:val="51352B6B"/>
    <w:rsid w:val="51A72EFC"/>
    <w:rsid w:val="52181704"/>
    <w:rsid w:val="522417EF"/>
    <w:rsid w:val="52953EDE"/>
    <w:rsid w:val="52D53472"/>
    <w:rsid w:val="53A17F68"/>
    <w:rsid w:val="53D8739D"/>
    <w:rsid w:val="53DB6C22"/>
    <w:rsid w:val="53FB2F26"/>
    <w:rsid w:val="541D6876"/>
    <w:rsid w:val="54B6568B"/>
    <w:rsid w:val="55085A60"/>
    <w:rsid w:val="55A90FF1"/>
    <w:rsid w:val="55BB5978"/>
    <w:rsid w:val="55F45FE4"/>
    <w:rsid w:val="5683561C"/>
    <w:rsid w:val="586B764B"/>
    <w:rsid w:val="590456AD"/>
    <w:rsid w:val="59343196"/>
    <w:rsid w:val="599E0097"/>
    <w:rsid w:val="5A201514"/>
    <w:rsid w:val="5A5D05FC"/>
    <w:rsid w:val="5ABB2B2E"/>
    <w:rsid w:val="5ADB7D78"/>
    <w:rsid w:val="5B0F5D9A"/>
    <w:rsid w:val="5BB04DF0"/>
    <w:rsid w:val="5C6A3582"/>
    <w:rsid w:val="5C700ABB"/>
    <w:rsid w:val="5CAE778C"/>
    <w:rsid w:val="5D0C00B7"/>
    <w:rsid w:val="5D123920"/>
    <w:rsid w:val="5D5B228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1E83289"/>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B35332"/>
    <w:rsid w:val="76DD4F9D"/>
    <w:rsid w:val="77316A3F"/>
    <w:rsid w:val="774B1AB0"/>
    <w:rsid w:val="777A05E8"/>
    <w:rsid w:val="779416A9"/>
    <w:rsid w:val="77DC750A"/>
    <w:rsid w:val="77FA34D6"/>
    <w:rsid w:val="78024143"/>
    <w:rsid w:val="789842C8"/>
    <w:rsid w:val="78F42BEF"/>
    <w:rsid w:val="78F54CD1"/>
    <w:rsid w:val="799B64FC"/>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6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0"/>
      <w:szCs w:val="20"/>
      <w:u w:val="none"/>
    </w:rPr>
  </w:style>
  <w:style w:type="character" w:customStyle="1" w:styleId="32">
    <w:name w:val="font7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5818</Words>
  <Characters>6214</Characters>
  <Lines>0</Lines>
  <Paragraphs>0</Paragraphs>
  <TotalTime>0</TotalTime>
  <ScaleCrop>false</ScaleCrop>
  <LinksUpToDate>false</LinksUpToDate>
  <CharactersWithSpaces>6557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2026-06-22T00:40:49Z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E83AC8058DE14991A5D4AD9F1E20A025_13</vt:lpwstr>
  </property>
  <property fmtid="{D5CDD505-2E9C-101B-9397-08002B2CF9AE}" pid="4" name="KSOTemplateDocerSaveRecord">
    <vt:lpwstr>eyJoZGlkIjoiNzdkNTM4MTkwYTE0Yjk0Y2Y4MjVlZDcwOGViZTQwYjIiLCJ1c2VySWQiOiIxMTc2NDE1MTk0In0=</vt:lpwstr>
  </property>
</Properties>
</file>