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bookmarkStart w:id="7" w:name="_GoBack"/>
      <w:bookmarkEnd w:id="7"/>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项目名称：会议室家具（第四次）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项目编号：BSRMYY-YNCG-2026-06008 </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4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97"/>
        <w:gridCol w:w="1446"/>
        <w:gridCol w:w="989"/>
        <w:gridCol w:w="2109"/>
        <w:gridCol w:w="1494"/>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543"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27"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566"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20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5"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543"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会议条桌（带滑轮）</w:t>
            </w:r>
          </w:p>
        </w:tc>
        <w:tc>
          <w:tcPr>
            <w:tcW w:w="827" w:type="pct"/>
            <w:tcBorders>
              <w:bottom w:val="single" w:color="auto" w:sz="4" w:space="0"/>
            </w:tcBorders>
            <w:vAlign w:val="center"/>
          </w:tcPr>
          <w:p w14:paraId="419FC52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w:t>
            </w:r>
          </w:p>
        </w:tc>
        <w:tc>
          <w:tcPr>
            <w:tcW w:w="566" w:type="pct"/>
            <w:tcBorders>
              <w:bottom w:val="single" w:color="auto" w:sz="4" w:space="0"/>
            </w:tcBorders>
            <w:vAlign w:val="center"/>
          </w:tcPr>
          <w:p w14:paraId="79E8B2A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207" w:type="pct"/>
            <w:tcBorders>
              <w:bottom w:val="single" w:color="auto" w:sz="4" w:space="0"/>
            </w:tcBorders>
            <w:vAlign w:val="center"/>
          </w:tcPr>
          <w:p w14:paraId="75E6394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1230</w:t>
            </w:r>
          </w:p>
        </w:tc>
        <w:tc>
          <w:tcPr>
            <w:tcW w:w="855"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54960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543"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会议椅</w:t>
            </w:r>
          </w:p>
        </w:tc>
        <w:tc>
          <w:tcPr>
            <w:tcW w:w="827" w:type="pct"/>
            <w:tcBorders>
              <w:top w:val="single" w:color="auto" w:sz="4" w:space="0"/>
              <w:bottom w:val="single" w:color="auto" w:sz="4" w:space="0"/>
            </w:tcBorders>
            <w:vAlign w:val="center"/>
          </w:tcPr>
          <w:p w14:paraId="6FAE84D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48</w:t>
            </w:r>
          </w:p>
        </w:tc>
        <w:tc>
          <w:tcPr>
            <w:tcW w:w="566" w:type="pct"/>
            <w:tcBorders>
              <w:top w:val="single" w:color="auto" w:sz="4" w:space="0"/>
              <w:bottom w:val="single" w:color="auto" w:sz="4" w:space="0"/>
            </w:tcBorders>
            <w:vAlign w:val="center"/>
          </w:tcPr>
          <w:p w14:paraId="716535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把</w:t>
            </w:r>
          </w:p>
        </w:tc>
        <w:tc>
          <w:tcPr>
            <w:tcW w:w="1207" w:type="pct"/>
            <w:tcBorders>
              <w:top w:val="single" w:color="auto" w:sz="4" w:space="0"/>
              <w:bottom w:val="single" w:color="auto" w:sz="4" w:space="0"/>
              <w:right w:val="single" w:color="auto" w:sz="4" w:space="0"/>
            </w:tcBorders>
            <w:vAlign w:val="center"/>
          </w:tcPr>
          <w:p w14:paraId="2EF3C97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530</w:t>
            </w:r>
          </w:p>
        </w:tc>
        <w:tc>
          <w:tcPr>
            <w:tcW w:w="855" w:type="pct"/>
            <w:vMerge w:val="continue"/>
            <w:tcBorders>
              <w:bottom w:val="single" w:color="auto" w:sz="4" w:space="0"/>
            </w:tcBorders>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3AC97B9E">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10488"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145"/>
        <w:gridCol w:w="1260"/>
        <w:gridCol w:w="1260"/>
        <w:gridCol w:w="5013"/>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56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参考图片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12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lang w:eastAsia="zh-CN"/>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CA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15240</wp:posOffset>
                  </wp:positionH>
                  <wp:positionV relativeFrom="paragraph">
                    <wp:posOffset>1641475</wp:posOffset>
                  </wp:positionV>
                  <wp:extent cx="1139190" cy="1134110"/>
                  <wp:effectExtent l="0" t="0" r="3810" b="8890"/>
                  <wp:wrapNone/>
                  <wp:docPr id="10" name="图片_2"/>
                  <wp:cNvGraphicFramePr/>
                  <a:graphic xmlns:a="http://schemas.openxmlformats.org/drawingml/2006/main">
                    <a:graphicData uri="http://schemas.openxmlformats.org/drawingml/2006/picture">
                      <pic:pic xmlns:pic="http://schemas.openxmlformats.org/drawingml/2006/picture">
                        <pic:nvPicPr>
                          <pic:cNvPr id="10" name="图片_2"/>
                          <pic:cNvPicPr/>
                        </pic:nvPicPr>
                        <pic:blipFill>
                          <a:blip r:embed="rId4"/>
                          <a:stretch>
                            <a:fillRect/>
                          </a:stretch>
                        </pic:blipFill>
                        <pic:spPr>
                          <a:xfrm>
                            <a:off x="0" y="0"/>
                            <a:ext cx="1139190" cy="1134110"/>
                          </a:xfrm>
                          <a:prstGeom prst="rect">
                            <a:avLst/>
                          </a:prstGeom>
                          <a:noFill/>
                          <a:ln>
                            <a:noFill/>
                          </a:ln>
                        </pic:spPr>
                      </pic:pic>
                    </a:graphicData>
                  </a:graphic>
                </wp:anchor>
              </w:drawing>
            </w:r>
            <w:r>
              <w:rPr>
                <w:rFonts w:hint="eastAsia" w:ascii="方正仿宋_GBK" w:hAnsi="方正仿宋_GBK" w:eastAsia="方正仿宋_GBK" w:cs="方正仿宋_GBK"/>
                <w:b/>
                <w:bCs/>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wp:posOffset>
                  </wp:positionH>
                  <wp:positionV relativeFrom="paragraph">
                    <wp:posOffset>85725</wp:posOffset>
                  </wp:positionV>
                  <wp:extent cx="1162685" cy="1497965"/>
                  <wp:effectExtent l="0" t="0" r="18415" b="6985"/>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5"/>
                          <a:stretch>
                            <a:fillRect/>
                          </a:stretch>
                        </pic:blipFill>
                        <pic:spPr>
                          <a:xfrm>
                            <a:off x="0" y="0"/>
                            <a:ext cx="1162685" cy="1497965"/>
                          </a:xfrm>
                          <a:prstGeom prst="rect">
                            <a:avLst/>
                          </a:prstGeom>
                          <a:noFill/>
                          <a:ln>
                            <a:noFill/>
                          </a:ln>
                        </pic:spPr>
                      </pic:pic>
                    </a:graphicData>
                  </a:graphic>
                </wp:anchor>
              </w:drawing>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会议条桌</w:t>
            </w:r>
            <w:r>
              <w:rPr>
                <w:rFonts w:hint="eastAsia" w:ascii="方正仿宋_GBK" w:hAnsi="方正仿宋_GBK" w:eastAsia="方正仿宋_GBK" w:cs="方正仿宋_GBK"/>
                <w:b/>
                <w:bCs/>
                <w:kern w:val="0"/>
                <w:sz w:val="24"/>
                <w:szCs w:val="24"/>
                <w:highlight w:val="none"/>
                <w:lang w:val="en-US" w:eastAsia="zh-CN"/>
              </w:rPr>
              <w:t>（带滑轮）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E6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1200*600*750</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560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材质：采用绿色环保品牌E0级阻燃多层实木板，表面装饰层纹理清晰、自然，色彩亮丽、饱满，整体真实感强、光泽柔和、手感细腻;具有不易燃、耐磨、防污、硬度高、刚性好、不易变形等特点;表面耐香烟灼烧5级以上，胶合强度≥0.8MPa，板面握钉力≥1100N，抗拉强度≥50MPa，抗细菌率≥99%，防霉菌性能0级，阻燃性能达到B1级，面板厚度25mm；甲醛释放量≤0.025mg/m3（气候箱法），有机挥发物，苯.甲苯.二甲苯未检出。</w:t>
            </w:r>
          </w:p>
          <w:p w14:paraId="21AC6F8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2.封边条：采用优质环保胶PVC封边条：采用2mm厚同色封边条、隐秘部位封边处理。所有外部封边采用与板件颜色、纹理配套的2mm厚优质PVC封边带，理化性.耐老化无开裂。</w:t>
            </w:r>
          </w:p>
          <w:p w14:paraId="70E3018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3.粘胶剂：黏度;≥1.5pa.s，不挥发物≥40，湿强度≥5MPa  干强度≥12MPa 不含游离甲醛、苯、甲苯、二甲苯。</w:t>
            </w:r>
          </w:p>
          <w:p w14:paraId="0FC7EFE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4.紧固配件：三合一五金连接件，耐腐蚀性：中性盐雾试验200H达10级，乙酸盐雾试验200H达10级。  </w:t>
            </w:r>
          </w:p>
          <w:p w14:paraId="058C52A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5.采用≥1MM厚优质冷轧钢板，抗拉伸力≥415Mpa，硬度3H，附着力≤2级，中性盐雾试验和乙酸盐雾试验≥10级。</w:t>
            </w:r>
          </w:p>
          <w:p w14:paraId="13DE7E7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6.经防锈处理后，在表面抗菌静电粉末喷塑，附着力1级、硬度3H，抗菌率≥99.9%，不含重金属铅镉汞铬。</w:t>
            </w:r>
          </w:p>
          <w:p w14:paraId="384E265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7.投标供应商提供阻燃多层实木板，封边条，粘胶剂，三合一紧固件，冷轧钢板，粉末涂料，符合以上参数要求的有效的第三方检测报告。</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3B39">
            <w:pPr>
              <w:keepNext w:val="0"/>
              <w:keepLines w:val="0"/>
              <w:pageBreakBefore w:val="0"/>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wp:posOffset>
                  </wp:positionH>
                  <wp:positionV relativeFrom="paragraph">
                    <wp:posOffset>-433070</wp:posOffset>
                  </wp:positionV>
                  <wp:extent cx="1273810" cy="1487805"/>
                  <wp:effectExtent l="0" t="0" r="2540" b="17145"/>
                  <wp:wrapNone/>
                  <wp:docPr id="9" name="图片_1_SpCnt_1"/>
                  <wp:cNvGraphicFramePr/>
                  <a:graphic xmlns:a="http://schemas.openxmlformats.org/drawingml/2006/main">
                    <a:graphicData uri="http://schemas.openxmlformats.org/drawingml/2006/picture">
                      <pic:pic xmlns:pic="http://schemas.openxmlformats.org/drawingml/2006/picture">
                        <pic:nvPicPr>
                          <pic:cNvPr id="9" name="图片_1_SpCnt_1"/>
                          <pic:cNvPicPr/>
                        </pic:nvPicPr>
                        <pic:blipFill>
                          <a:blip r:embed="rId6"/>
                          <a:stretch>
                            <a:fillRect/>
                          </a:stretch>
                        </pic:blipFill>
                        <pic:spPr>
                          <a:xfrm>
                            <a:off x="0" y="0"/>
                            <a:ext cx="1273810" cy="1487805"/>
                          </a:xfrm>
                          <a:prstGeom prst="rect">
                            <a:avLst/>
                          </a:prstGeom>
                          <a:noFill/>
                          <a:ln>
                            <a:noFill/>
                          </a:ln>
                        </pic:spPr>
                      </pic:pic>
                    </a:graphicData>
                  </a:graphic>
                </wp:anchor>
              </w:drawing>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51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常规</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EB6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面料：采用优质双层网布，不含甲醛、可分解致癌芳香胺染料，异味检测结果符合要求，不含印花色浆有机挥发物，符合纺织产品中有害物质限制要求，不含锑、汞、邻苯基苯酚，阻燃性能检测通过抗引燃特性试验达到B1级。</w:t>
            </w:r>
          </w:p>
          <w:p w14:paraId="7A032DF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2.海绵：采用高弹阻燃海绵，甲醛释放量≤0.02mg/㎡h，回弹率≥50%，拉伸强度≥110kpa，湿热老化后拉伸强度≥120kpa，伸长率≥130%，密度座面≥55kg/m³。</w:t>
            </w:r>
          </w:p>
          <w:p w14:paraId="0B107BD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3.座板：采用优质曲木板（多层阻燃板），甲醛释放量≤0.050mg/m³，不含苯、甲苯、二甲苯、TVOC。</w:t>
            </w:r>
          </w:p>
          <w:p w14:paraId="5E3BC6C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4.椅架：采用2.0优质碳钢喷涂脚架，中性盐雾试验，乙酸盐雾试验均达到10级，可以迁移元素锑砷钡镉铬铅汞硒未检出，力学性能下屈服强度≥240MPa抗拉强度450MP抗菌性能达99%。</w:t>
            </w:r>
          </w:p>
          <w:p w14:paraId="5EB219F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5.投标供应商提供双层网布、海绵、多层板、椅架，符合以上参数要求的有效的第三方检测报告。</w:t>
            </w:r>
          </w:p>
        </w:tc>
      </w:tr>
    </w:tbl>
    <w:p w14:paraId="547D9D72">
      <w:pPr>
        <w:pStyle w:val="25"/>
        <w:numPr>
          <w:ilvl w:val="0"/>
          <w:numId w:val="0"/>
        </w:numPr>
        <w:jc w:val="both"/>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备注：会议椅需通过框架协议下单采购，供应商应入围框架协议库。</w:t>
      </w:r>
    </w:p>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2AEC0EA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因办公家具家具属于政府采购框架协议中的物资，供应商应具有框架协议资质。</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w:t>
      </w:r>
      <w:r>
        <w:rPr>
          <w:rFonts w:hint="eastAsia" w:ascii="方正仿宋_GBK" w:hAnsi="方正仿宋_GBK" w:eastAsia="方正仿宋_GBK" w:cs="方正仿宋_GBK"/>
          <w:color w:val="auto"/>
          <w:kern w:val="0"/>
          <w:sz w:val="32"/>
          <w:szCs w:val="32"/>
          <w:highlight w:val="none"/>
          <w:lang w:val="en-US" w:eastAsia="zh-CN"/>
        </w:rPr>
        <w:t>54960元</w:t>
      </w:r>
      <w:r>
        <w:rPr>
          <w:rFonts w:hint="eastAsia"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本项目要求供应商自中选后，在接到采购方通知后30日内完成安装并验收合格。合同签订一年内供应商按照本次成交单价和商务条件随时保障采购人的续购需求。</w:t>
      </w:r>
    </w:p>
    <w:p w14:paraId="5BA598E3">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57B492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采购人将根据拟中标供应商顺序通知供应商提供桌子一张、椅子一把做为样品，接收人后勤保障部戈老师（电话：18725931759）、行政办杨老师（电话：13008327800）。样品接收时限以后续具体沟通为准，超时未提供样品的供应商视为放弃中选资格，拟成交供应商顺延至第二位。</w:t>
      </w:r>
    </w:p>
    <w:p w14:paraId="110894A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样品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一次性支付90%货款，待质保期结束后无息支付剩余10%货款，付款时供应商提供发票、验收单、送货单等。如发现供应商提供虚假发票将把供应商列入院内不良记录供应商库，同时采购人有权拒绝支付发票内容的款项，并向有关部门进行举报。</w:t>
      </w:r>
    </w:p>
    <w:p w14:paraId="350C4FD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进行安装调试，安装调试并试运行1个月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767ACF7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（1）生产日期要求：送货产品应为生产日期一年以内的全新产品。</w:t>
      </w:r>
    </w:p>
    <w:p w14:paraId="2561C4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（2）质保要求</w:t>
      </w:r>
      <w:r>
        <w:rPr>
          <w:rFonts w:hint="eastAsia" w:ascii="方正仿宋_GBK" w:hAnsi="方正仿宋_GBK" w:eastAsia="方正仿宋_GBK" w:cs="方正仿宋_GBK"/>
          <w:b w:val="0"/>
          <w:bCs w:val="0"/>
          <w:color w:val="auto"/>
          <w:kern w:val="0"/>
          <w:sz w:val="32"/>
          <w:szCs w:val="32"/>
          <w:highlight w:val="none"/>
          <w:lang w:val="en-US" w:eastAsia="zh-CN"/>
        </w:rPr>
        <w:t>：全部产品质保期不低于五年，时间从双方验收确认签字入库起开始计算；质保期内非人为损坏免费更换。</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（2）故障响应：供应商应30分钟电话响应，2小时到达医院处置。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4EC6142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无。</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1295D56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发生额30%的违约金，已经付款的供应商应全款退还采购人已经支付的款项；未按售后服务要求提供服务的，供应商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60288"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7"/>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1312"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8"/>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D4BCF0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因办公家具家具属于政府采购框架协议中的物资，供应商应具有框架协议资质。</w:t>
      </w:r>
    </w:p>
    <w:p w14:paraId="695B17C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73677399"/>
      <w:bookmarkStart w:id="2" w:name="_Toc237057793"/>
      <w:bookmarkStart w:id="3" w:name="_Toc156196472"/>
      <w:bookmarkStart w:id="4" w:name="_Toc128229304"/>
      <w:bookmarkStart w:id="5" w:name="_Toc128014297"/>
      <w:bookmarkStart w:id="6" w:name="_Toc175017344"/>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3238B5D1">
      <w:pPr>
        <w:pStyle w:val="7"/>
        <w:tabs>
          <w:tab w:val="left" w:pos="6300"/>
        </w:tabs>
        <w:adjustRightInd w:val="0"/>
        <w:snapToGrid w:val="0"/>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邀标文件编号：</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邀标项目名称：</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E1EB6F2A"/>
    <w:multiLevelType w:val="singleLevel"/>
    <w:tmpl w:val="E1EB6F2A"/>
    <w:lvl w:ilvl="0" w:tentative="0">
      <w:start w:val="2"/>
      <w:numFmt w:val="chineseCounting"/>
      <w:suff w:val="nothing"/>
      <w:lvlText w:val="%1、"/>
      <w:lvlJc w:val="left"/>
      <w:rPr>
        <w:rFonts w:hint="eastAsia"/>
      </w:rPr>
    </w:lvl>
  </w:abstractNum>
  <w:abstractNum w:abstractNumId="4">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5D5673"/>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A55E09"/>
    <w:rsid w:val="11E8540A"/>
    <w:rsid w:val="11EE6888"/>
    <w:rsid w:val="11FE4005"/>
    <w:rsid w:val="12040D82"/>
    <w:rsid w:val="122D0B62"/>
    <w:rsid w:val="123245B3"/>
    <w:rsid w:val="12E91297"/>
    <w:rsid w:val="133D5E0A"/>
    <w:rsid w:val="153C16E7"/>
    <w:rsid w:val="15D4217A"/>
    <w:rsid w:val="1706559C"/>
    <w:rsid w:val="17E53404"/>
    <w:rsid w:val="18EC242C"/>
    <w:rsid w:val="1922346A"/>
    <w:rsid w:val="19380134"/>
    <w:rsid w:val="19402EE9"/>
    <w:rsid w:val="1A00445C"/>
    <w:rsid w:val="1AAE2C67"/>
    <w:rsid w:val="1AF86BE0"/>
    <w:rsid w:val="1B3306B6"/>
    <w:rsid w:val="1BDD4D8A"/>
    <w:rsid w:val="1BDE0896"/>
    <w:rsid w:val="1BFA5B62"/>
    <w:rsid w:val="1C1979BC"/>
    <w:rsid w:val="1C2A5563"/>
    <w:rsid w:val="1C4E1577"/>
    <w:rsid w:val="1C5E79A5"/>
    <w:rsid w:val="1C6472F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9C060A2"/>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582634D"/>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93091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A90FF1"/>
    <w:rsid w:val="55BB5978"/>
    <w:rsid w:val="55F45FE4"/>
    <w:rsid w:val="5683561C"/>
    <w:rsid w:val="586B764B"/>
    <w:rsid w:val="589324AE"/>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7740</Words>
  <Characters>8085</Characters>
  <Lines>0</Lines>
  <Paragraphs>0</Paragraphs>
  <TotalTime>4</TotalTime>
  <ScaleCrop>false</ScaleCrop>
  <LinksUpToDate>false</LinksUpToDate>
  <CharactersWithSpaces>8752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2026-07-29T09:19:06Z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