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项目名称：会议平板</w:t>
      </w:r>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项目编号：BSRMYY-YNCG-2026-07005</w:t>
      </w:r>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511"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420"/>
        <w:gridCol w:w="1575"/>
        <w:gridCol w:w="1635"/>
        <w:gridCol w:w="3260"/>
      </w:tblGrid>
      <w:tr w14:paraId="7CEBE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361"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885"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919"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833"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限价（元）</w:t>
            </w:r>
          </w:p>
        </w:tc>
      </w:tr>
      <w:tr w14:paraId="03C12F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361" w:type="pct"/>
            <w:tcBorders>
              <w:bottom w:val="single" w:color="auto" w:sz="4" w:space="0"/>
            </w:tcBorders>
            <w:vAlign w:val="center"/>
          </w:tcPr>
          <w:p w14:paraId="266F8A29">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会议平板</w:t>
            </w:r>
          </w:p>
        </w:tc>
        <w:tc>
          <w:tcPr>
            <w:tcW w:w="885" w:type="pct"/>
            <w:tcBorders>
              <w:bottom w:val="single" w:color="auto" w:sz="4" w:space="0"/>
            </w:tcBorders>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919" w:type="pct"/>
            <w:tcBorders>
              <w:bottom w:val="single" w:color="auto" w:sz="4" w:space="0"/>
            </w:tcBorders>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833" w:type="pct"/>
            <w:tcBorders>
              <w:bottom w:val="single" w:color="auto" w:sz="4" w:space="0"/>
            </w:tcBorders>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15000</w:t>
            </w:r>
          </w:p>
        </w:tc>
      </w:tr>
    </w:tbl>
    <w:p w14:paraId="5CC26C5D">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501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364"/>
        <w:gridCol w:w="7524"/>
      </w:tblGrid>
      <w:tr w14:paraId="25350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195" w:type="pct"/>
            <w:vAlign w:val="center"/>
          </w:tcPr>
          <w:p w14:paraId="115351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3804" w:type="pct"/>
            <w:vAlign w:val="center"/>
          </w:tcPr>
          <w:p w14:paraId="6204A34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技术要求</w:t>
            </w:r>
          </w:p>
        </w:tc>
      </w:tr>
      <w:tr w14:paraId="22F0CA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09" w:hRule="atLeast"/>
          <w:jc w:val="center"/>
        </w:trPr>
        <w:tc>
          <w:tcPr>
            <w:tcW w:w="1195" w:type="pct"/>
            <w:tcBorders>
              <w:bottom w:val="single" w:color="auto" w:sz="4" w:space="0"/>
            </w:tcBorders>
            <w:vAlign w:val="center"/>
          </w:tcPr>
          <w:p w14:paraId="100BB306">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会议平板</w:t>
            </w:r>
          </w:p>
        </w:tc>
        <w:tc>
          <w:tcPr>
            <w:tcW w:w="3804" w:type="pct"/>
            <w:tcBorders>
              <w:bottom w:val="single" w:color="auto" w:sz="4" w:space="0"/>
            </w:tcBorders>
            <w:vAlign w:val="center"/>
          </w:tcPr>
          <w:p w14:paraId="739B750B">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pP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1.屏幕采用MiniLED技术，尺寸≥100寸，物理分辨率≥3840*2160，屏幕刷新率≥60Hz，可视角度≥178°，具备防炫光设计；</w:t>
            </w:r>
          </w:p>
          <w:p w14:paraId="6633CBD7">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pP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2.操作系统：Android11.0及以上，处理器SoC采用 Cortex-A73及以上，存储（RAM+ROM）不低于4G+128G，支持WIFI6，蓝牙版本不低于5.2，麦克风数量≥8阵列，具备智能降噪，回声消除功能，拾音距离≥12m；支持传屏器/Airpaly/P2P 多种无线投屏方式，支持免APP投屏；</w:t>
            </w:r>
          </w:p>
          <w:p w14:paraId="248D8B5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3.原生无开机广告，无弹窗广告；报价包含投屏器，采用推车方式安装</w:t>
            </w:r>
            <w:r>
              <w:rPr>
                <w:rFonts w:hint="eastAsia"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（供应商提供推车）</w:t>
            </w: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w:t>
            </w:r>
          </w:p>
        </w:tc>
      </w:tr>
    </w:tbl>
    <w:p w14:paraId="3996926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备注：本项目所投产品必须为中国关境内生产否则将按无效投标处理</w:t>
      </w:r>
    </w:p>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601B92D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w:t>
      </w:r>
      <w:r>
        <w:rPr>
          <w:rFonts w:hint="eastAsia" w:ascii="方正仿宋_GBK" w:hAnsi="方正仿宋_GBK" w:eastAsia="方正仿宋_GBK" w:cs="方正仿宋_GBK"/>
          <w:color w:val="auto"/>
          <w:kern w:val="0"/>
          <w:sz w:val="32"/>
          <w:szCs w:val="32"/>
          <w:highlight w:val="none"/>
          <w:lang w:val="en-US" w:eastAsia="zh-CN"/>
        </w:rPr>
        <w:t>最高限价15000元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货款、运输装卸、安装、质保期维护保养费（含易损件更换）、资料装订及邮寄费、税费、保险费、验收检测费、信息系统对接接口费、培训费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4197054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中选供应商在与采购人签订合同后，5个工作日内完成送货及安装调试。</w:t>
      </w:r>
    </w:p>
    <w:p w14:paraId="4A95948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验收合格后据实结算；付款时供应商提供发票、验收单、送货单等。如发现供应商提供虚假发票将把供应商列入院内不良记录供应商库，同时采购人有权拒绝支付发票内容的款项，并向有关部门进行举报。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742CA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配置等参数符合招标文件要求作为初步验收。初步验收无异常由供应商进行安装调试，安装调试并试运行1个月无异常才作为最终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43476E3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color w:val="auto"/>
          <w:kern w:val="0"/>
          <w:sz w:val="32"/>
          <w:szCs w:val="32"/>
          <w:highlight w:val="none"/>
          <w:lang w:val="en-US" w:eastAsia="zh-CN"/>
        </w:rPr>
        <w:t>1.</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质量保证：</w:t>
      </w:r>
    </w:p>
    <w:p w14:paraId="30B20BB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成交供应商提供的货物必须是全新的且所有部件的生产日期为近一年内，完全符合国家相关技术标准。</w:t>
      </w:r>
    </w:p>
    <w:p w14:paraId="3626CD8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质量保证期：</w:t>
      </w:r>
    </w:p>
    <w:p w14:paraId="70EE755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自最终验收合格之日起，质量保证期不低于三年。质保期内维修，供应商需免费提供设备所有原厂配件。设备突发故障维修的时长不纳入正常质保期限，质保期限根据维修时长相应顺延。保证设备质保期内开机率达95%（按365日/年计算），且满足采购方招标以及供应商响应的设备使用功能，否则保修期双倍顺延。质保期内同一质量问题或故障经供应商两次维修后再次出现的，采购方有权要求供应商免费更换全新设备或退货处理。</w:t>
      </w:r>
    </w:p>
    <w:p w14:paraId="017F3E3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（2）软件要求：供应商设备所提供的软件需正版化或取得相应的授权资料，终身免费升级，升级前应通知并得到采购方明确同意。</w:t>
      </w:r>
    </w:p>
    <w:p w14:paraId="068D306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系统对接：供应商需提供与采购方医院信息系统连接接口，在采购方现有相关信息系统及相关硬件接口开放的基础上，供应商提供的软、硬件须无条件实现与采购方现有相关信息系统和硬件对接，并承担第三方软件厂商开放接口所收取的费用。</w:t>
      </w:r>
    </w:p>
    <w:p w14:paraId="3A0ABFB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2.供应商或制造商在质量保证期内应当为采购方提供以下技术支持和服务：</w:t>
      </w:r>
    </w:p>
    <w:p w14:paraId="421BAF6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（1）电话咨询：供应商或制造商应当为采购方提供技术援助电话，解答采购方在使用中遇到的问题，及时为采购方提出解决问题的建议。</w:t>
      </w:r>
    </w:p>
    <w:p w14:paraId="79ED6DB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现场响应：采购方遇到使用及技术问题，电话咨询不能解决的，供应商或制造商应在12小时内到达现场进行处理，确保产品正常工作；无法在12小时内解决的，应在24小时内提供备用产品，使采购方能够正常使用。</w:t>
      </w:r>
    </w:p>
    <w:p w14:paraId="129732C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（3）技术升级：在质保期内，如果产品技术升级，供应商应及时通知采购方，如采购方有相应要求，供应商或制造商应对采购方购买的产品进行免费升级服务。</w:t>
      </w:r>
    </w:p>
    <w:p w14:paraId="7CEE68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3.质保期外服务要求</w:t>
      </w:r>
    </w:p>
    <w:p w14:paraId="155350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（1）质量保证期过后，供应商或制造商应同样提供免费电话咨询及免费技术或软件升级服务，现场响应并应承诺提供优惠价格的产品上门维护服务。</w:t>
      </w:r>
    </w:p>
    <w:p w14:paraId="6182EB9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（2）质量保证期过后，采购方需要继续由原供应商或制造商提供售后服务的，原厂维保价格不得高于合同金额的5%。</w:t>
      </w:r>
    </w:p>
    <w:p w14:paraId="2B2CDC8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4.备品备件及易损件</w:t>
      </w:r>
    </w:p>
    <w:p w14:paraId="2F591A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或制造商售后服务中，维修使用的备品备件及易损件应为原厂全新配件，未经采购方同意不得使用非原厂配件，所有设备常用的、容易损坏的备品备件及易损件的价格清单须在投标文件中列出，供应商书面承诺备品备件及易损件保供至少10年，同时承诺备品备件及易损件采购时不得高于全市平均价，零配件价格下调时及时通知采购方。</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326ADDF">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left="0" w:leftChars="0"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其他要求</w:t>
      </w:r>
    </w:p>
    <w:p w14:paraId="29CC5CF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安全责任</w:t>
      </w:r>
    </w:p>
    <w:p w14:paraId="7D6C081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供应商负责供货服务过程中的所有安全，提供的商品所造成的所有人身伤害或财产损失等安全责任问题，全部由供应商负责并自行承担法律责任。</w:t>
      </w:r>
    </w:p>
    <w:p w14:paraId="5F9CA97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信息安全责任条款</w:t>
      </w:r>
    </w:p>
    <w:p w14:paraId="0C242B5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责任范围</w:t>
      </w:r>
    </w:p>
    <w:p w14:paraId="3FD4E0C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供应商保证其提供的产品（含软硬件、驱动程序）及服务不存在已知或应知的恶意代码、未授权后门、隐蔽通道等安全缺陷，且所有操作符合《网络安全法》《数据安全法》及国家强制性标准（如GB/T 22239-2019）。</w:t>
      </w:r>
    </w:p>
    <w:p w14:paraId="629C57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违约情形</w:t>
      </w:r>
    </w:p>
    <w:p w14:paraId="06F13B1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因供应商产品/服务存在以下情形导致采购方发生安全事件（系统中断、数据泄露、恶意攻击扩散等），视为根本违约：</w:t>
      </w:r>
    </w:p>
    <w:p w14:paraId="74EDAF1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1.故意植入恶意功能；</w:t>
      </w:r>
    </w:p>
    <w:p w14:paraId="2610CDE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2.隐瞒已知安全漏洞且未告知；</w:t>
      </w:r>
    </w:p>
    <w:p w14:paraId="55FED3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3.运维操作违反国家强制性安全规范。</w:t>
      </w:r>
    </w:p>
    <w:p w14:paraId="38563C0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赔偿责任</w:t>
      </w:r>
    </w:p>
    <w:p w14:paraId="3F5FD7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发生上述违约时，供应商须承担：</w:t>
      </w:r>
    </w:p>
    <w:p w14:paraId="56F03C2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1.基础违约金：合同总额的10%(用于覆盖应急响应、取证评估等基础费用)；</w:t>
      </w:r>
    </w:p>
    <w:p w14:paraId="7AB748D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2.直接损失赔偿：采购方实际遭受的经济损失；</w:t>
      </w:r>
    </w:p>
    <w:p w14:paraId="513BAA4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3.惩罚性赔偿：若存在主观恶意，追加合同总额20%的赔偿。</w:t>
      </w:r>
    </w:p>
    <w:p w14:paraId="51B42F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免责与减责</w:t>
      </w:r>
    </w:p>
    <w:p w14:paraId="7A3353F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1.因采购方未按安全指南使用设备（如未安装补丁、禁用安全功能）导致损失，供应商责任相应减免；</w:t>
      </w:r>
    </w:p>
    <w:p w14:paraId="339EADF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2.开源组件或供应链上游漏洞导致的客观风险，供应商及时通报并协助处置的，可免除惩罚性赔偿。</w:t>
      </w:r>
    </w:p>
    <w:p w14:paraId="2124B0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证据规则</w:t>
      </w:r>
    </w:p>
    <w:p w14:paraId="64031AA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事件归责需由重庆市网安部门（市公安局网安总队/市委网信办）通报或国家级网络安全机构（如CNVD、CNNVD）或双方认可的第三方实验室出具鉴定报告。供应商应在收到报告后5个工作日内书面回应，逾期视为认可结论。</w:t>
      </w:r>
    </w:p>
    <w:p w14:paraId="430EEE6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知识产权</w:t>
      </w:r>
    </w:p>
    <w:p w14:paraId="79A4109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采购方在中华人民共和国境内使用成交供应商提供的货物及服务时免受第三方提出的侵犯其专利权或其它知识产权的起诉。如果第三方提出侵权指控，成交供应商应承担由此而引起的一切法律责任和费用。</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59EB9DC5">
      <w:pPr>
        <w:keepNext w:val="0"/>
        <w:keepLines w:val="0"/>
        <w:pageBreakBefore w:val="0"/>
        <w:widowControl w:val="0"/>
        <w:kinsoku/>
        <w:wordWrap/>
        <w:overflowPunct/>
        <w:topLinePunct w:val="0"/>
        <w:autoSpaceDE/>
        <w:autoSpaceDN/>
        <w:bidi w:val="0"/>
        <w:adjustRightInd/>
        <w:snapToGrid w:val="0"/>
        <w:spacing w:line="500" w:lineRule="exact"/>
        <w:ind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在约定期限完成交付验收，延迟交付每日支付千分之三的违约金，超过30日未能交付，采购方有权解除合同，并要求供应商承担合同总额30%的违约金；验收不合格或使用中发现产品质量缺陷，采购方有权要求供应商整改，整改期限为10日，整改期限届满仍未完成的供应商每日支付千分之三的违约金，超过20日未能完成整改，采购方有权解除合同，并要求供应商承担合同总额30%的违约金；所投和交付产品须为正规合格产品，后期发现或鉴定为假冒伪劣产品供应商应承担拆除恢复原状等所有费用。供应商违反其书面承诺，应承担合同总金额10%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协议》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泄露采购人数据、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4470832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供应商超30日未能交付；供应商廉洁违纪行为；供应商主动放弃等。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A814DE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7E333B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014297"/>
      <w:bookmarkStart w:id="1" w:name="_Toc173677399"/>
      <w:bookmarkStart w:id="2" w:name="_Toc237057793"/>
      <w:bookmarkStart w:id="3" w:name="_Toc175017344"/>
      <w:bookmarkStart w:id="4" w:name="_Toc128229304"/>
      <w:bookmarkStart w:id="5" w:name="_Toc156196472"/>
      <w:bookmarkStart w:id="6" w:name="_Toc128229747"/>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1F6FF59A">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09BB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F947234">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其他要求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4354BB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1148DA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6952430">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6F05F92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w:t>
      </w:r>
      <w:bookmarkStart w:id="7" w:name="_GoBack"/>
      <w:bookmarkEnd w:id="7"/>
      <w:r>
        <w:rPr>
          <w:rFonts w:hint="eastAsia" w:ascii="仿宋_GB2312" w:hAnsi="宋体" w:eastAsia="仿宋_GB2312"/>
          <w:color w:val="auto"/>
          <w:sz w:val="24"/>
          <w:highlight w:val="none"/>
          <w:lang w:val="en-US" w:eastAsia="zh-CN"/>
        </w:rPr>
        <w:t>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22321A"/>
    <w:rsid w:val="03404493"/>
    <w:rsid w:val="03C22F64"/>
    <w:rsid w:val="03CE68FB"/>
    <w:rsid w:val="041961A8"/>
    <w:rsid w:val="042E0790"/>
    <w:rsid w:val="04C70F47"/>
    <w:rsid w:val="04E723E0"/>
    <w:rsid w:val="052A5AE8"/>
    <w:rsid w:val="053E0EA6"/>
    <w:rsid w:val="056E5276"/>
    <w:rsid w:val="05882122"/>
    <w:rsid w:val="058D14E6"/>
    <w:rsid w:val="05ED287B"/>
    <w:rsid w:val="06FB539B"/>
    <w:rsid w:val="076E4620"/>
    <w:rsid w:val="07F82B6D"/>
    <w:rsid w:val="08BF2007"/>
    <w:rsid w:val="090305CD"/>
    <w:rsid w:val="09046655"/>
    <w:rsid w:val="098E4DDC"/>
    <w:rsid w:val="0A6144FC"/>
    <w:rsid w:val="0B7A2227"/>
    <w:rsid w:val="0B993AA9"/>
    <w:rsid w:val="0BD2234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854FCD"/>
    <w:rsid w:val="0F9718DF"/>
    <w:rsid w:val="0FA0747C"/>
    <w:rsid w:val="0FD01451"/>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063D7E"/>
    <w:rsid w:val="1B3306B6"/>
    <w:rsid w:val="1BDD4D8A"/>
    <w:rsid w:val="1BDE0896"/>
    <w:rsid w:val="1BFA5B62"/>
    <w:rsid w:val="1C1979BC"/>
    <w:rsid w:val="1C4E1577"/>
    <w:rsid w:val="1C5E79A5"/>
    <w:rsid w:val="1C6472FC"/>
    <w:rsid w:val="1CE4012E"/>
    <w:rsid w:val="1CF00EFC"/>
    <w:rsid w:val="1DB61742"/>
    <w:rsid w:val="1E935967"/>
    <w:rsid w:val="1EC23BA1"/>
    <w:rsid w:val="1F0A567B"/>
    <w:rsid w:val="1F2B3EFC"/>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2725710"/>
    <w:rsid w:val="43244531"/>
    <w:rsid w:val="43860D47"/>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AB2749"/>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7ED1F84"/>
    <w:rsid w:val="586B764B"/>
    <w:rsid w:val="59041519"/>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A3218"/>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DD4F9D"/>
    <w:rsid w:val="77316A3F"/>
    <w:rsid w:val="773B5FB8"/>
    <w:rsid w:val="774B1AB0"/>
    <w:rsid w:val="777A05E8"/>
    <w:rsid w:val="779416A9"/>
    <w:rsid w:val="77DC750A"/>
    <w:rsid w:val="77FA34D6"/>
    <w:rsid w:val="78024143"/>
    <w:rsid w:val="789842C8"/>
    <w:rsid w:val="78F42BEF"/>
    <w:rsid w:val="78F54CD1"/>
    <w:rsid w:val="799B64FC"/>
    <w:rsid w:val="7A0416E3"/>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8237</Words>
  <Characters>8524</Characters>
  <Lines>0</Lines>
  <Paragraphs>0</Paragraphs>
  <TotalTime>20</TotalTime>
  <ScaleCrop>false</ScaleCrop>
  <LinksUpToDate>false</LinksUpToDate>
  <CharactersWithSpaces>9188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2026-07-22T06:55:13Z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