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项目名称：医疗有害垃圾专项处置全流程智能管控系统</w:t>
      </w:r>
    </w:p>
    <w:p w14:paraId="115DC50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项目编号：BSRMYY-YNCG-2026-04014</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bookmarkStart w:id="7" w:name="_GoBack"/>
      <w:bookmarkEnd w:id="7"/>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E3AF8AA">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95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29"/>
        <w:gridCol w:w="1430"/>
        <w:gridCol w:w="1774"/>
        <w:gridCol w:w="3324"/>
      </w:tblGrid>
      <w:tr w14:paraId="3E2E16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8" w:hRule="atLeast"/>
        </w:trPr>
        <w:tc>
          <w:tcPr>
            <w:tcW w:w="1654" w:type="pct"/>
            <w:vAlign w:val="center"/>
          </w:tcPr>
          <w:p w14:paraId="6E6F73A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32" w:type="pct"/>
            <w:vAlign w:val="center"/>
          </w:tcPr>
          <w:p w14:paraId="2A7051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数量（套）</w:t>
            </w:r>
          </w:p>
        </w:tc>
        <w:tc>
          <w:tcPr>
            <w:tcW w:w="908" w:type="pct"/>
            <w:vAlign w:val="center"/>
          </w:tcPr>
          <w:p w14:paraId="0DA4670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c>
          <w:tcPr>
            <w:tcW w:w="1703" w:type="pct"/>
            <w:shd w:val="clear" w:color="auto" w:fill="auto"/>
            <w:vAlign w:val="center"/>
          </w:tcPr>
          <w:p w14:paraId="506237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rPr>
              <w:t>备注</w:t>
            </w:r>
          </w:p>
        </w:tc>
      </w:tr>
      <w:tr w14:paraId="3BBF41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5" w:hRule="atLeast"/>
        </w:trPr>
        <w:tc>
          <w:tcPr>
            <w:tcW w:w="1654" w:type="pct"/>
            <w:vAlign w:val="center"/>
          </w:tcPr>
          <w:p w14:paraId="363B932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 xml:space="preserve"> 医疗有害垃圾专项处置全流程智能管控系统</w:t>
            </w:r>
          </w:p>
        </w:tc>
        <w:tc>
          <w:tcPr>
            <w:tcW w:w="732" w:type="pct"/>
            <w:vAlign w:val="center"/>
          </w:tcPr>
          <w:p w14:paraId="570C797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08" w:type="pct"/>
            <w:vAlign w:val="center"/>
          </w:tcPr>
          <w:p w14:paraId="5FDFA2A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29080</w:t>
            </w:r>
          </w:p>
        </w:tc>
        <w:tc>
          <w:tcPr>
            <w:tcW w:w="1703" w:type="pct"/>
            <w:shd w:val="clear" w:color="auto" w:fill="auto"/>
            <w:vAlign w:val="center"/>
          </w:tcPr>
          <w:p w14:paraId="19763BB0">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rPr>
              <w:t>该限价为系统建设+首年维保价格，采购人购买系统后可终身免费使用，续签维保价格不高于2000元/年</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05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2"/>
        <w:gridCol w:w="7983"/>
      </w:tblGrid>
      <w:tr w14:paraId="4F3F1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5" w:hRule="atLeast"/>
          <w:jc w:val="center"/>
        </w:trPr>
        <w:tc>
          <w:tcPr>
            <w:tcW w:w="990" w:type="pct"/>
            <w:vAlign w:val="center"/>
          </w:tcPr>
          <w:p w14:paraId="240A1F0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4009" w:type="pct"/>
            <w:vAlign w:val="center"/>
          </w:tcPr>
          <w:p w14:paraId="59F038F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6C96DE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83" w:hRule="atLeast"/>
          <w:jc w:val="center"/>
        </w:trPr>
        <w:tc>
          <w:tcPr>
            <w:tcW w:w="990" w:type="pct"/>
            <w:vMerge w:val="restart"/>
            <w:vAlign w:val="center"/>
          </w:tcPr>
          <w:p w14:paraId="248E28FF">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医疗有害垃圾专项处置全流程智能管控系统</w:t>
            </w:r>
          </w:p>
        </w:tc>
        <w:tc>
          <w:tcPr>
            <w:tcW w:w="4009" w:type="pct"/>
            <w:vAlign w:val="center"/>
          </w:tcPr>
          <w:p w14:paraId="570BE8FB">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一、称重集成系统：</w:t>
            </w:r>
          </w:p>
          <w:p w14:paraId="0E880F03">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该系统量程为0~300kg，精度可达0.1kg。秤台台面尺寸不小于600mm×450mm，其计量性能符合国家Ⅲ级计量标准，并满足《电子台秤》（GB/T7722-2020）规范要求。电子秤与危废终端控制设备之间采用有线连接方式。主要结构件（秤体及传感器）均采用耐腐蚀的06Cr19Ni10（即304）不锈钢材质制造。</w:t>
            </w:r>
          </w:p>
        </w:tc>
      </w:tr>
      <w:tr w14:paraId="40FD9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990" w:type="pct"/>
            <w:vMerge w:val="continue"/>
            <w:vAlign w:val="center"/>
          </w:tcPr>
          <w:p w14:paraId="56A364D2">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4009" w:type="pct"/>
            <w:vAlign w:val="center"/>
          </w:tcPr>
          <w:p w14:paraId="32FA7B3F">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二、打码集成系统：</w:t>
            </w:r>
          </w:p>
          <w:p w14:paraId="6FF0D36C">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该系统支持热敏打印、PET标签打印及自定义标签规格。标配新国标标准标签尺寸100mm*100mm。硬件核心采用工业级打印机专用SoC芯片，配置不低于SDRAM 32MB与FLASH 8MB的存储器，确保性能稳定。设备标配1个USB接口</w:t>
            </w:r>
            <w:r>
              <w:rPr>
                <w:rFonts w:hint="eastAsia" w:ascii="方正仿宋_GBK" w:hAnsi="方正仿宋_GBK" w:eastAsia="方正仿宋_GBK" w:cs="方正仿宋_GBK"/>
                <w:b/>
                <w:bCs/>
                <w:kern w:val="0"/>
                <w:sz w:val="24"/>
                <w:szCs w:val="24"/>
                <w:highlight w:val="none"/>
                <w:lang w:val="en-US" w:eastAsia="zh-CN"/>
              </w:rPr>
              <w:t>。</w:t>
            </w:r>
            <w:r>
              <w:rPr>
                <w:rFonts w:hint="default" w:ascii="方正仿宋_GBK" w:hAnsi="方正仿宋_GBK" w:eastAsia="方正仿宋_GBK" w:cs="方正仿宋_GBK"/>
                <w:b/>
                <w:bCs/>
                <w:kern w:val="0"/>
                <w:sz w:val="24"/>
                <w:szCs w:val="24"/>
                <w:highlight w:val="none"/>
                <w:lang w:val="en-US" w:eastAsia="zh-CN"/>
              </w:rPr>
              <w:t>其配备的全幅面可移动式传感器可实现不同规格标签的打印精确定位。3C强制性产品认证，兼容Windows及统信UOS、麒麟等国产操作系统。纸仓支持单卷不少于500张的标签纸卷。</w:t>
            </w:r>
          </w:p>
        </w:tc>
      </w:tr>
      <w:tr w14:paraId="237E5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990" w:type="pct"/>
            <w:vMerge w:val="continue"/>
            <w:vAlign w:val="center"/>
          </w:tcPr>
          <w:p w14:paraId="284CD843">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4009" w:type="pct"/>
            <w:vAlign w:val="center"/>
          </w:tcPr>
          <w:p w14:paraId="1DB8B951">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三、显示集成系统（危废终端控制设备）：</w:t>
            </w:r>
          </w:p>
          <w:p w14:paraId="4E2117B3">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设备外壳采用耐腐蚀、易清洁的不锈钢材质，配备10寸及以上液晶触控屏便于操作。内置物联网通讯模块，支持远程数据传输，并预置一张含12个月有效资费的流量卡。设备可存储不少于500组物料信息，并支持至少6个物料属性字段的自定义。在标签处理方面，支持最大宽度100mm的自定义规格标签打印，并可自定义不少于10个二维码打印参数。为保障网络可靠性，设备同时支持SIM卡（4G/5G）、Wi-Fi及RJ45有线网络三种连接方式，可自动抓取企业危废管理数据。接口配置齐全，包括2个USB接口、1个SIM卡插口、1个带5芯航空接头的防咬数据线接口、1个DB9串口（支持RS232/RS485）、1个RJ45有线网络接口。其内置计量模块符合国家Ⅲ级标准，最小称量0.1kg，分度值为1。设备工作温度范围为0-40°。</w:t>
            </w:r>
          </w:p>
        </w:tc>
      </w:tr>
      <w:tr w14:paraId="7ADBA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50" w:hRule="atLeast"/>
          <w:jc w:val="center"/>
        </w:trPr>
        <w:tc>
          <w:tcPr>
            <w:tcW w:w="990" w:type="pct"/>
            <w:vMerge w:val="continue"/>
            <w:vAlign w:val="center"/>
          </w:tcPr>
          <w:p w14:paraId="57A13FC8">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4009" w:type="pct"/>
            <w:vAlign w:val="center"/>
          </w:tcPr>
          <w:p w14:paraId="626FCBB2">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四、巴渝治废上报系统软件：</w:t>
            </w:r>
          </w:p>
          <w:p w14:paraId="7EB75098">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软件需完全满足重庆市“巴渝治废”平台的数字化上报管理要求，实现设备与“巴渝治废”系统正式环境服务器及国家危险废物全过程环境管理系统的直接数据对接，数据应直连直传，严禁任何形式的间接连接。系统能自动获取全国危险废物唯一编码，并打印符合“巴渝治废”规范的标签，实现数据在平台中的一码贯通，且数据来源须明确显示为“物联设备回流”。系统自动生成的标签二维码，支持通过微信等主流工具扫码查询废物详情及全流程处置信息，所有信息均可溯源至国家系统。终端设备支持一键登录“渝快办”平台，直接完成废物包的入库、出库及转移联单的在线填报与提交。系统支持直接绑定在巴渝治废平台申请的物联设备唯一编号，实现设备与平台的关联。支持发起电子转移联单，联单信息将自动上传至国家系统并同步至巴渝治废平台，无需人工二次录入。</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特定资格条件：</w:t>
      </w:r>
    </w:p>
    <w:p w14:paraId="1D5700D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按照相关法律法规规定。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本项目最高限价29080元，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项目系统建设费、人员差旅住宿费、安装调试、质保期维护保养费（含易损件更换）、资料装订及邮寄费、税费、保险费、验收检测费、信息系统对接接口费、培训费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本项目要求供应商在</w:t>
      </w:r>
      <w:r>
        <w:rPr>
          <w:rFonts w:hint="eastAsia" w:ascii="方正仿宋_GBK" w:hAnsi="方正仿宋_GBK" w:eastAsia="方正仿宋_GBK" w:cs="方正仿宋_GBK"/>
          <w:color w:val="auto"/>
          <w:sz w:val="32"/>
          <w:szCs w:val="32"/>
          <w:highlight w:val="none"/>
        </w:rPr>
        <w:t>合同签订后</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color w:val="auto"/>
          <w:sz w:val="32"/>
          <w:szCs w:val="32"/>
          <w:highlight w:val="none"/>
        </w:rPr>
        <w:t>个工作日内完成安装调试</w:t>
      </w:r>
      <w:r>
        <w:rPr>
          <w:rFonts w:hint="eastAsia" w:ascii="方正仿宋_GBK" w:hAnsi="方正仿宋_GBK" w:eastAsia="方正仿宋_GBK" w:cs="方正仿宋_GBK"/>
          <w:color w:val="auto"/>
          <w:sz w:val="32"/>
          <w:szCs w:val="32"/>
          <w:highlight w:val="none"/>
          <w:lang w:eastAsia="zh-CN"/>
        </w:rPr>
        <w:t>。</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1F3FF70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按照采购招标文件要求逐项验收，确认规格、配置等参数符合招标文件要求作为初步验收，初步验收无异常由供应商进行安装调试，</w:t>
      </w:r>
      <w:r>
        <w:rPr>
          <w:rFonts w:hint="default" w:ascii="方正仿宋_GBK" w:hAnsi="方正仿宋_GBK" w:eastAsia="方正仿宋_GBK" w:cs="方正仿宋_GBK"/>
          <w:color w:val="auto"/>
          <w:kern w:val="0"/>
          <w:sz w:val="32"/>
          <w:szCs w:val="32"/>
          <w:highlight w:val="none"/>
          <w:lang w:val="en-US" w:eastAsia="zh-CN"/>
        </w:rPr>
        <w:t>安装调试并接入“重庆市巴渝治废管理信息系统”试运行1个月无异常才作为最终验收。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auto"/>
          <w:kern w:val="0"/>
          <w:sz w:val="32"/>
          <w:szCs w:val="32"/>
          <w:highlight w:val="none"/>
          <w:lang w:val="en-US" w:eastAsia="zh-CN"/>
        </w:rPr>
        <w:t>（六）</w:t>
      </w: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3B4D3EE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（1）送货产品须为生产日期1年以内的全新产品。</w:t>
      </w:r>
    </w:p>
    <w:p w14:paraId="391A441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：质保期不少于1年；质保期内非人为故障免费更换或维修，维修为原厂配件</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系统安装调试完成的同时，供应商应提供免费技术指导，让采购方用户掌握操作。质保期内该系统一切软硬件故障由供应商响应处理，修复应达到验收时标准；故障响应要求30分钟电话响应，4小时到达医院处置。采购人购买系统后可终身免费使用，质保期后维保价格不高于2000元/年且包含物联网卡流量费用（若出现国家指定系统或巴渝治废系统接口修改，供应商免费升级软件，确保系统符合验收时标准，正常使用），并提供易损件单独报价。</w:t>
      </w:r>
    </w:p>
    <w:p w14:paraId="5E94B5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70287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4D026613">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5DCD6B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4113A782">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left="0" w:leftChars="0"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其他商务要求</w:t>
      </w:r>
    </w:p>
    <w:p w14:paraId="56F8F98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1.免费提供9卷（100mm*100mm，500张/卷）符合打印集成系统要求的三防危废标签纸；</w:t>
      </w:r>
    </w:p>
    <w:p w14:paraId="77094C5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2.信息安全责任条款</w:t>
      </w:r>
    </w:p>
    <w:p w14:paraId="4EA301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（一）责任范围</w:t>
      </w:r>
    </w:p>
    <w:p w14:paraId="264603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14:paraId="086406E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违约情形</w:t>
      </w:r>
    </w:p>
    <w:p w14:paraId="6043E4B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因供应商产品/服务存在以下情形导致采购人发生安全事件（系统中断、数据泄露、恶意攻击扩散等），视为根本违约：</w:t>
      </w:r>
    </w:p>
    <w:p w14:paraId="76AA778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1.故意植入恶意功能；</w:t>
      </w:r>
    </w:p>
    <w:p w14:paraId="56B511C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2.隐瞒已知安全漏洞且未告知；</w:t>
      </w:r>
    </w:p>
    <w:p w14:paraId="0FBE46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3.运维操作违反国家强制性安全规范。</w:t>
      </w:r>
    </w:p>
    <w:p w14:paraId="310EE8E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赔偿责任</w:t>
      </w:r>
    </w:p>
    <w:p w14:paraId="09D96DF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发生上述违约时，供应商须承担：</w:t>
      </w:r>
    </w:p>
    <w:p w14:paraId="4506052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1.基础违约金：合同总额的10%（用于覆盖应急响应、取证评估等基础费用）；</w:t>
      </w:r>
    </w:p>
    <w:p w14:paraId="5969A0B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2.直接损失赔偿：采购人实际遭受的经济损失；</w:t>
      </w:r>
    </w:p>
    <w:p w14:paraId="2683C54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3.惩罚性赔偿：若存在主观恶意，追加合同总额20%的赔偿。</w:t>
      </w:r>
    </w:p>
    <w:p w14:paraId="3C37F6E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免责与减责</w:t>
      </w:r>
    </w:p>
    <w:p w14:paraId="54685A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1.因采购人未按安全指南使用设备（如未安装补丁、禁用安全功能）导致损失，供应商责任相应减免；</w:t>
      </w:r>
    </w:p>
    <w:p w14:paraId="20C1708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2.开源组件或供应链上游漏洞导致的客观风险，供应商及时通报并协助处置的，可免除惩罚性赔偿。</w:t>
      </w:r>
    </w:p>
    <w:p w14:paraId="6F8D99C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证据规则</w:t>
      </w:r>
    </w:p>
    <w:p w14:paraId="3E4E68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安全事件归责需由重庆市网安部门（市公安局网安总队/市委网信办）通报或国家级网络安全机构（如CNVD、CNNVD）或双方认可的第三方实验室出具鉴定报告。供应商应在收到报告后5个工作日内书面回应，逾期视为认可结论。</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681B2F4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交付或系统软件调试部署，每延长一日支付合同总额5%的违约金，超过10日未能交付，采购人有权解除合同并要求供应商承担合同总额30%的违约金。验收不合格或使用中发现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日，整改期限届满仍未完成的供应商每日支付合同金额千分之三的违约金，超过</w:t>
      </w:r>
      <w:r>
        <w:rPr>
          <w:rFonts w:hint="eastAsia" w:ascii="方正仿宋_GBK" w:hAnsi="方正仿宋_GBK" w:eastAsia="方正仿宋_GBK" w:cs="方正仿宋_GBK"/>
          <w:b w:val="0"/>
          <w:bCs w:val="0"/>
          <w:color w:val="auto"/>
          <w:kern w:val="0"/>
          <w:sz w:val="32"/>
          <w:szCs w:val="32"/>
          <w:highlight w:val="none"/>
          <w:lang w:val="en-US" w:eastAsia="zh-CN"/>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售后服务要求提供服务的，供应商将承担200元/次的违约金，超过2次采购人有权解除合同并要求供应商承担合同总额30%的违约金。若因供应商未及时提供售后服务导致采购人其他业务损失的，按实际损失全额赔偿。因不能按期交付或整改超期导致采购人解除合同，以及供应商明确表示终止合同，供应商需承担合同总金额30%的违约金，并承担对采购人造成的损失。</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742F39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或服务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供应商及其提供产品、服务发生泄漏医院数据及患者隐私事件，采购人有权解除合同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并要求供应商返还已支付款项并承担合同金额1倍的违约金;⑩使用中发现供应商提供的产品或服务有质量或安全问题供应商未立即整改，采购人有权解除合同并要求供应商承担项目金额2倍违约金;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或服务引发安全问题、供应商原因导致采购人数据泄露、故障问题供应商未及时响应造成严重后果等情形），应赔偿对采购人造成的直接和间接损失全额损失及承担相应法律责任。合同履行期间发生争议，协商无果由重庆市璧山区人民法院裁决。</w:t>
      </w:r>
    </w:p>
    <w:p w14:paraId="12D534A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（十一）</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2A2A05B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FFCE2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3231DE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0BF48F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56670EC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649432B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048F8B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77B682C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49EAB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62E472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5F6579D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7E6296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16FC645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2D42B06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6B5F7D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57DB975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6858BE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1B681FD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2909116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5A79B3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214B74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1E10F4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01E488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769EC1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3ECF298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D28CEC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3ABE78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47B21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00F7B9C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098241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33176F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1CD153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64976C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3941E6C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0DF16E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7682D62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3A3B44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4F2E058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6C02307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5D25F84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06B5F2D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B24EE1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00E3763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DFF36AF">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34926FFD">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729147C2">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3FDA42A8">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A98369E">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4FCC7CE2">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3B4517A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3D00BC7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F9D60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3B602D6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169C8E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5687D51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67C8EB6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AB6D5D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4028C6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633F90C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2E3671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4DA42E31">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按照相关法律法规规定。</w:t>
      </w:r>
      <w:r>
        <w:rPr>
          <w:rFonts w:hint="eastAsia" w:ascii="仿宋" w:hAnsi="仿宋" w:eastAsia="仿宋" w:cs="仿宋"/>
          <w:b/>
          <w:bCs/>
          <w:color w:val="auto"/>
          <w:sz w:val="28"/>
          <w:szCs w:val="21"/>
          <w:highlight w:val="none"/>
          <w:lang w:val="en-US" w:eastAsia="zh-CN"/>
        </w:rPr>
        <w:br w:type="page"/>
      </w:r>
    </w:p>
    <w:p w14:paraId="07C33D48">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E688C67">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067609EE">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4D4350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2CCF4DD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BDB2A0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686A320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0B2E5C5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E1F705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18BA63D7">
      <w:pPr>
        <w:spacing w:line="500" w:lineRule="exact"/>
        <w:ind w:firstLine="600" w:firstLineChars="200"/>
        <w:rPr>
          <w:rFonts w:ascii="微软雅黑" w:hAnsi="微软雅黑" w:eastAsia="微软雅黑" w:cs="微软雅黑"/>
          <w:sz w:val="30"/>
          <w:szCs w:val="30"/>
          <w:highlight w:val="none"/>
        </w:rPr>
      </w:pPr>
    </w:p>
    <w:p w14:paraId="508CD5F5">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322DC74">
      <w:pPr>
        <w:ind w:firstLine="600" w:firstLineChars="200"/>
        <w:rPr>
          <w:rFonts w:ascii="微软雅黑" w:hAnsi="微软雅黑" w:eastAsia="微软雅黑" w:cs="微软雅黑"/>
          <w:sz w:val="30"/>
          <w:szCs w:val="30"/>
          <w:highlight w:val="none"/>
        </w:rPr>
      </w:pPr>
    </w:p>
    <w:p w14:paraId="7B8F0A8E">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BE9F378">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B4BFB64">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17DE7BF3">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5B16986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78FFC555">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3EDC864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7A51DF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E6EE05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6A14D679">
      <w:pPr>
        <w:spacing w:line="594" w:lineRule="exact"/>
        <w:ind w:firstLine="600" w:firstLineChars="200"/>
        <w:rPr>
          <w:rFonts w:hint="eastAsia" w:ascii="微软雅黑" w:hAnsi="微软雅黑" w:eastAsia="微软雅黑"/>
          <w:sz w:val="30"/>
          <w:szCs w:val="30"/>
          <w:highlight w:val="none"/>
        </w:rPr>
      </w:pPr>
    </w:p>
    <w:p w14:paraId="26C34503">
      <w:pPr>
        <w:spacing w:line="594" w:lineRule="exact"/>
        <w:ind w:firstLine="600" w:firstLineChars="200"/>
        <w:rPr>
          <w:rFonts w:hint="eastAsia" w:ascii="微软雅黑" w:hAnsi="微软雅黑" w:eastAsia="微软雅黑"/>
          <w:sz w:val="30"/>
          <w:szCs w:val="30"/>
          <w:highlight w:val="none"/>
        </w:rPr>
      </w:pPr>
    </w:p>
    <w:p w14:paraId="57E6668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3A497003">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237057793"/>
      <w:bookmarkStart w:id="2" w:name="_Toc128229304"/>
      <w:bookmarkStart w:id="3" w:name="_Toc173677399"/>
      <w:bookmarkStart w:id="4" w:name="_Toc128229747"/>
      <w:bookmarkStart w:id="5" w:name="_Toc128014297"/>
      <w:bookmarkStart w:id="6" w:name="_Toc156196472"/>
    </w:p>
    <w:bookmarkEnd w:id="0"/>
    <w:bookmarkEnd w:id="1"/>
    <w:bookmarkEnd w:id="2"/>
    <w:bookmarkEnd w:id="3"/>
    <w:bookmarkEnd w:id="4"/>
    <w:bookmarkEnd w:id="5"/>
    <w:bookmarkEnd w:id="6"/>
    <w:p w14:paraId="21E0885A">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26E7F32F">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5176FB63">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7E957318">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405C2F34">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60CF50FC">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5AD299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63A0E76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CAAF85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97E90F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57B82664">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2DD15F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2ED486F2">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229BD6CD">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74BECBCE">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278EE374">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ACAD8A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仿宋_GBK" w:hAnsi="方正仿宋_GBK" w:eastAsia="方正仿宋_GBK" w:cs="方正仿宋_GBK"/>
          <w:b/>
          <w:kern w:val="2"/>
          <w:sz w:val="32"/>
          <w:szCs w:val="32"/>
          <w:highlight w:val="none"/>
          <w:lang w:val="en-US" w:eastAsia="zh-CN" w:bidi="ar-SA"/>
        </w:rPr>
      </w:pPr>
      <w:r>
        <w:rPr>
          <w:rFonts w:hint="eastAsia" w:ascii="方正仿宋_GBK" w:hAnsi="方正仿宋_GBK" w:eastAsia="方正仿宋_GBK" w:cs="方正仿宋_GBK"/>
          <w:b/>
          <w:kern w:val="2"/>
          <w:sz w:val="32"/>
          <w:szCs w:val="32"/>
          <w:highlight w:val="none"/>
          <w:lang w:val="en-US" w:eastAsia="zh-CN" w:bidi="ar-SA"/>
        </w:rPr>
        <w:t>7.采购人有权与供应商在二次议价时对于招标文件不明晰的内容进行商务谈判，进一步明确需求。</w:t>
      </w:r>
    </w:p>
    <w:p w14:paraId="6DEB910A">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highlight w:val="none"/>
          <w:lang w:val="en-US" w:eastAsia="zh-CN"/>
        </w:rPr>
      </w:pPr>
    </w:p>
    <w:p w14:paraId="4EB111D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keepNext w:val="0"/>
        <w:keepLines w:val="0"/>
        <w:pageBreakBefore w:val="0"/>
        <w:widowControl w:val="0"/>
        <w:tabs>
          <w:tab w:val="left" w:pos="2895"/>
        </w:tabs>
        <w:kinsoku/>
        <w:wordWrap/>
        <w:overflowPunct/>
        <w:topLinePunct w:val="0"/>
        <w:autoSpaceDE/>
        <w:autoSpaceDN/>
        <w:bidi w:val="0"/>
        <w:adjustRightInd/>
        <w:snapToGrid/>
        <w:spacing w:line="700" w:lineRule="exact"/>
        <w:ind w:firstLine="596" w:firstLineChars="200"/>
        <w:jc w:val="righ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keepNext w:val="0"/>
        <w:keepLines w:val="0"/>
        <w:pageBreakBefore w:val="0"/>
        <w:widowControl w:val="0"/>
        <w:kinsoku/>
        <w:wordWrap/>
        <w:overflowPunct/>
        <w:topLinePunct w:val="0"/>
        <w:autoSpaceDE/>
        <w:autoSpaceDN/>
        <w:bidi w:val="0"/>
        <w:adjustRightInd/>
        <w:snapToGrid/>
        <w:spacing w:line="700" w:lineRule="exact"/>
        <w:textAlignment w:val="auto"/>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6A9C714">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7E9C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6C5B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433D9224">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CE9BA3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51671D9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291B05C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5350E20B">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1DE3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EE467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0098D759">
            <w:pPr>
              <w:spacing w:line="300" w:lineRule="exact"/>
              <w:rPr>
                <w:rFonts w:ascii="微软雅黑" w:hAnsi="微软雅黑" w:eastAsia="微软雅黑" w:cs="微软雅黑"/>
                <w:sz w:val="24"/>
                <w:szCs w:val="24"/>
                <w:highlight w:val="none"/>
              </w:rPr>
            </w:pPr>
          </w:p>
        </w:tc>
        <w:tc>
          <w:tcPr>
            <w:tcW w:w="1831" w:type="dxa"/>
            <w:noWrap w:val="0"/>
            <w:vAlign w:val="top"/>
          </w:tcPr>
          <w:p w14:paraId="346C95D8">
            <w:pPr>
              <w:spacing w:line="300" w:lineRule="exact"/>
              <w:rPr>
                <w:rFonts w:ascii="微软雅黑" w:hAnsi="微软雅黑" w:eastAsia="微软雅黑" w:cs="微软雅黑"/>
                <w:sz w:val="24"/>
                <w:szCs w:val="24"/>
                <w:highlight w:val="none"/>
              </w:rPr>
            </w:pPr>
          </w:p>
        </w:tc>
        <w:tc>
          <w:tcPr>
            <w:tcW w:w="1590" w:type="dxa"/>
            <w:noWrap w:val="0"/>
            <w:vAlign w:val="top"/>
          </w:tcPr>
          <w:p w14:paraId="5472DF9E">
            <w:pPr>
              <w:spacing w:line="300" w:lineRule="exact"/>
              <w:rPr>
                <w:rFonts w:ascii="微软雅黑" w:hAnsi="微软雅黑" w:eastAsia="微软雅黑" w:cs="微软雅黑"/>
                <w:sz w:val="24"/>
                <w:szCs w:val="24"/>
                <w:highlight w:val="none"/>
              </w:rPr>
            </w:pPr>
          </w:p>
        </w:tc>
        <w:tc>
          <w:tcPr>
            <w:tcW w:w="2249" w:type="dxa"/>
            <w:noWrap w:val="0"/>
            <w:vAlign w:val="top"/>
          </w:tcPr>
          <w:p w14:paraId="26B5EFF8">
            <w:pPr>
              <w:spacing w:line="300" w:lineRule="exact"/>
              <w:rPr>
                <w:rFonts w:ascii="微软雅黑" w:hAnsi="微软雅黑" w:eastAsia="微软雅黑" w:cs="微软雅黑"/>
                <w:sz w:val="24"/>
                <w:szCs w:val="24"/>
                <w:highlight w:val="none"/>
              </w:rPr>
            </w:pPr>
          </w:p>
        </w:tc>
        <w:tc>
          <w:tcPr>
            <w:tcW w:w="1275" w:type="dxa"/>
            <w:noWrap w:val="0"/>
            <w:vAlign w:val="top"/>
          </w:tcPr>
          <w:p w14:paraId="6C2990E8">
            <w:pPr>
              <w:spacing w:line="300" w:lineRule="exact"/>
              <w:rPr>
                <w:rFonts w:ascii="微软雅黑" w:hAnsi="微软雅黑" w:eastAsia="微软雅黑" w:cs="微软雅黑"/>
                <w:sz w:val="24"/>
                <w:szCs w:val="24"/>
                <w:highlight w:val="none"/>
              </w:rPr>
            </w:pPr>
          </w:p>
        </w:tc>
      </w:tr>
      <w:tr w14:paraId="2DF0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4ED4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64FBD4AA">
            <w:pPr>
              <w:spacing w:line="300" w:lineRule="exact"/>
              <w:rPr>
                <w:rFonts w:ascii="微软雅黑" w:hAnsi="微软雅黑" w:eastAsia="微软雅黑" w:cs="微软雅黑"/>
                <w:sz w:val="24"/>
                <w:szCs w:val="24"/>
                <w:highlight w:val="none"/>
              </w:rPr>
            </w:pPr>
          </w:p>
        </w:tc>
        <w:tc>
          <w:tcPr>
            <w:tcW w:w="1831" w:type="dxa"/>
            <w:noWrap w:val="0"/>
            <w:vAlign w:val="top"/>
          </w:tcPr>
          <w:p w14:paraId="677A40EA">
            <w:pPr>
              <w:spacing w:line="300" w:lineRule="exact"/>
              <w:rPr>
                <w:rFonts w:ascii="微软雅黑" w:hAnsi="微软雅黑" w:eastAsia="微软雅黑" w:cs="微软雅黑"/>
                <w:sz w:val="24"/>
                <w:szCs w:val="24"/>
                <w:highlight w:val="none"/>
              </w:rPr>
            </w:pPr>
          </w:p>
        </w:tc>
        <w:tc>
          <w:tcPr>
            <w:tcW w:w="1590" w:type="dxa"/>
            <w:noWrap w:val="0"/>
            <w:vAlign w:val="top"/>
          </w:tcPr>
          <w:p w14:paraId="765C5104">
            <w:pPr>
              <w:spacing w:line="300" w:lineRule="exact"/>
              <w:rPr>
                <w:rFonts w:ascii="微软雅黑" w:hAnsi="微软雅黑" w:eastAsia="微软雅黑" w:cs="微软雅黑"/>
                <w:sz w:val="24"/>
                <w:szCs w:val="24"/>
                <w:highlight w:val="none"/>
              </w:rPr>
            </w:pPr>
          </w:p>
        </w:tc>
        <w:tc>
          <w:tcPr>
            <w:tcW w:w="2249" w:type="dxa"/>
            <w:noWrap w:val="0"/>
            <w:vAlign w:val="top"/>
          </w:tcPr>
          <w:p w14:paraId="74968581">
            <w:pPr>
              <w:spacing w:line="300" w:lineRule="exact"/>
              <w:rPr>
                <w:rFonts w:ascii="微软雅黑" w:hAnsi="微软雅黑" w:eastAsia="微软雅黑" w:cs="微软雅黑"/>
                <w:sz w:val="24"/>
                <w:szCs w:val="24"/>
                <w:highlight w:val="none"/>
              </w:rPr>
            </w:pPr>
          </w:p>
        </w:tc>
        <w:tc>
          <w:tcPr>
            <w:tcW w:w="1275" w:type="dxa"/>
            <w:noWrap w:val="0"/>
            <w:vAlign w:val="top"/>
          </w:tcPr>
          <w:p w14:paraId="22B41D04">
            <w:pPr>
              <w:spacing w:line="300" w:lineRule="exact"/>
              <w:rPr>
                <w:rFonts w:ascii="微软雅黑" w:hAnsi="微软雅黑" w:eastAsia="微软雅黑" w:cs="微软雅黑"/>
                <w:sz w:val="24"/>
                <w:szCs w:val="24"/>
                <w:highlight w:val="none"/>
              </w:rPr>
            </w:pPr>
          </w:p>
        </w:tc>
      </w:tr>
      <w:tr w14:paraId="1D63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83CD6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1CC39299">
            <w:pPr>
              <w:spacing w:line="300" w:lineRule="exact"/>
              <w:rPr>
                <w:rFonts w:ascii="微软雅黑" w:hAnsi="微软雅黑" w:eastAsia="微软雅黑" w:cs="微软雅黑"/>
                <w:sz w:val="24"/>
                <w:szCs w:val="24"/>
                <w:highlight w:val="none"/>
              </w:rPr>
            </w:pPr>
          </w:p>
        </w:tc>
        <w:tc>
          <w:tcPr>
            <w:tcW w:w="1831" w:type="dxa"/>
            <w:noWrap w:val="0"/>
            <w:vAlign w:val="top"/>
          </w:tcPr>
          <w:p w14:paraId="3BCEFC56">
            <w:pPr>
              <w:spacing w:line="300" w:lineRule="exact"/>
              <w:rPr>
                <w:rFonts w:ascii="微软雅黑" w:hAnsi="微软雅黑" w:eastAsia="微软雅黑" w:cs="微软雅黑"/>
                <w:sz w:val="24"/>
                <w:szCs w:val="24"/>
                <w:highlight w:val="none"/>
              </w:rPr>
            </w:pPr>
          </w:p>
        </w:tc>
        <w:tc>
          <w:tcPr>
            <w:tcW w:w="1590" w:type="dxa"/>
            <w:noWrap w:val="0"/>
            <w:vAlign w:val="top"/>
          </w:tcPr>
          <w:p w14:paraId="45441023">
            <w:pPr>
              <w:spacing w:line="300" w:lineRule="exact"/>
              <w:rPr>
                <w:rFonts w:ascii="微软雅黑" w:hAnsi="微软雅黑" w:eastAsia="微软雅黑" w:cs="微软雅黑"/>
                <w:sz w:val="24"/>
                <w:szCs w:val="24"/>
                <w:highlight w:val="none"/>
              </w:rPr>
            </w:pPr>
          </w:p>
        </w:tc>
        <w:tc>
          <w:tcPr>
            <w:tcW w:w="2249" w:type="dxa"/>
            <w:noWrap w:val="0"/>
            <w:vAlign w:val="top"/>
          </w:tcPr>
          <w:p w14:paraId="6C8C6CAA">
            <w:pPr>
              <w:spacing w:line="300" w:lineRule="exact"/>
              <w:rPr>
                <w:rFonts w:ascii="微软雅黑" w:hAnsi="微软雅黑" w:eastAsia="微软雅黑" w:cs="微软雅黑"/>
                <w:sz w:val="24"/>
                <w:szCs w:val="24"/>
                <w:highlight w:val="none"/>
              </w:rPr>
            </w:pPr>
          </w:p>
        </w:tc>
        <w:tc>
          <w:tcPr>
            <w:tcW w:w="1275" w:type="dxa"/>
            <w:noWrap w:val="0"/>
            <w:vAlign w:val="top"/>
          </w:tcPr>
          <w:p w14:paraId="06A7F654">
            <w:pPr>
              <w:spacing w:line="300" w:lineRule="exact"/>
              <w:rPr>
                <w:rFonts w:ascii="微软雅黑" w:hAnsi="微软雅黑" w:eastAsia="微软雅黑" w:cs="微软雅黑"/>
                <w:sz w:val="24"/>
                <w:szCs w:val="24"/>
                <w:highlight w:val="none"/>
              </w:rPr>
            </w:pPr>
          </w:p>
        </w:tc>
      </w:tr>
      <w:tr w14:paraId="3F01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70D942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F2E4E1">
            <w:pPr>
              <w:spacing w:line="300" w:lineRule="exact"/>
              <w:rPr>
                <w:rFonts w:ascii="微软雅黑" w:hAnsi="微软雅黑" w:eastAsia="微软雅黑" w:cs="微软雅黑"/>
                <w:sz w:val="24"/>
                <w:szCs w:val="24"/>
                <w:highlight w:val="none"/>
              </w:rPr>
            </w:pPr>
          </w:p>
        </w:tc>
        <w:tc>
          <w:tcPr>
            <w:tcW w:w="1831" w:type="dxa"/>
            <w:noWrap w:val="0"/>
            <w:vAlign w:val="top"/>
          </w:tcPr>
          <w:p w14:paraId="01686F79">
            <w:pPr>
              <w:spacing w:line="300" w:lineRule="exact"/>
              <w:rPr>
                <w:rFonts w:ascii="微软雅黑" w:hAnsi="微软雅黑" w:eastAsia="微软雅黑" w:cs="微软雅黑"/>
                <w:sz w:val="24"/>
                <w:szCs w:val="24"/>
                <w:highlight w:val="none"/>
              </w:rPr>
            </w:pPr>
          </w:p>
        </w:tc>
        <w:tc>
          <w:tcPr>
            <w:tcW w:w="1590" w:type="dxa"/>
            <w:noWrap w:val="0"/>
            <w:vAlign w:val="top"/>
          </w:tcPr>
          <w:p w14:paraId="6F72128C">
            <w:pPr>
              <w:spacing w:line="300" w:lineRule="exact"/>
              <w:rPr>
                <w:rFonts w:ascii="微软雅黑" w:hAnsi="微软雅黑" w:eastAsia="微软雅黑" w:cs="微软雅黑"/>
                <w:sz w:val="24"/>
                <w:szCs w:val="24"/>
                <w:highlight w:val="none"/>
              </w:rPr>
            </w:pPr>
          </w:p>
        </w:tc>
        <w:tc>
          <w:tcPr>
            <w:tcW w:w="2249" w:type="dxa"/>
            <w:noWrap w:val="0"/>
            <w:vAlign w:val="top"/>
          </w:tcPr>
          <w:p w14:paraId="72205059">
            <w:pPr>
              <w:spacing w:line="300" w:lineRule="exact"/>
              <w:rPr>
                <w:rFonts w:ascii="微软雅黑" w:hAnsi="微软雅黑" w:eastAsia="微软雅黑" w:cs="微软雅黑"/>
                <w:sz w:val="24"/>
                <w:szCs w:val="24"/>
                <w:highlight w:val="none"/>
              </w:rPr>
            </w:pPr>
          </w:p>
        </w:tc>
        <w:tc>
          <w:tcPr>
            <w:tcW w:w="1275" w:type="dxa"/>
            <w:noWrap w:val="0"/>
            <w:vAlign w:val="top"/>
          </w:tcPr>
          <w:p w14:paraId="5AE48285">
            <w:pPr>
              <w:spacing w:line="300" w:lineRule="exact"/>
              <w:rPr>
                <w:rFonts w:ascii="微软雅黑" w:hAnsi="微软雅黑" w:eastAsia="微软雅黑" w:cs="微软雅黑"/>
                <w:sz w:val="24"/>
                <w:szCs w:val="24"/>
                <w:highlight w:val="none"/>
              </w:rPr>
            </w:pPr>
          </w:p>
        </w:tc>
      </w:tr>
      <w:tr w14:paraId="47B8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D0333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AC26EB4">
            <w:pPr>
              <w:spacing w:line="300" w:lineRule="exact"/>
              <w:rPr>
                <w:rFonts w:ascii="微软雅黑" w:hAnsi="微软雅黑" w:eastAsia="微软雅黑" w:cs="微软雅黑"/>
                <w:sz w:val="24"/>
                <w:szCs w:val="24"/>
                <w:highlight w:val="none"/>
              </w:rPr>
            </w:pPr>
          </w:p>
        </w:tc>
        <w:tc>
          <w:tcPr>
            <w:tcW w:w="1831" w:type="dxa"/>
            <w:noWrap w:val="0"/>
            <w:vAlign w:val="top"/>
          </w:tcPr>
          <w:p w14:paraId="2C59A0B6">
            <w:pPr>
              <w:spacing w:line="300" w:lineRule="exact"/>
              <w:rPr>
                <w:rFonts w:ascii="微软雅黑" w:hAnsi="微软雅黑" w:eastAsia="微软雅黑" w:cs="微软雅黑"/>
                <w:sz w:val="24"/>
                <w:szCs w:val="24"/>
                <w:highlight w:val="none"/>
              </w:rPr>
            </w:pPr>
          </w:p>
        </w:tc>
        <w:tc>
          <w:tcPr>
            <w:tcW w:w="1590" w:type="dxa"/>
            <w:noWrap w:val="0"/>
            <w:vAlign w:val="top"/>
          </w:tcPr>
          <w:p w14:paraId="3E6ED655">
            <w:pPr>
              <w:spacing w:line="300" w:lineRule="exact"/>
              <w:rPr>
                <w:rFonts w:ascii="微软雅黑" w:hAnsi="微软雅黑" w:eastAsia="微软雅黑" w:cs="微软雅黑"/>
                <w:sz w:val="24"/>
                <w:szCs w:val="24"/>
                <w:highlight w:val="none"/>
              </w:rPr>
            </w:pPr>
          </w:p>
        </w:tc>
        <w:tc>
          <w:tcPr>
            <w:tcW w:w="2249" w:type="dxa"/>
            <w:noWrap w:val="0"/>
            <w:vAlign w:val="top"/>
          </w:tcPr>
          <w:p w14:paraId="4B6D6967">
            <w:pPr>
              <w:spacing w:line="300" w:lineRule="exact"/>
              <w:rPr>
                <w:rFonts w:ascii="微软雅黑" w:hAnsi="微软雅黑" w:eastAsia="微软雅黑" w:cs="微软雅黑"/>
                <w:sz w:val="24"/>
                <w:szCs w:val="24"/>
                <w:highlight w:val="none"/>
              </w:rPr>
            </w:pPr>
          </w:p>
        </w:tc>
        <w:tc>
          <w:tcPr>
            <w:tcW w:w="1275" w:type="dxa"/>
            <w:noWrap w:val="0"/>
            <w:vAlign w:val="top"/>
          </w:tcPr>
          <w:p w14:paraId="756B9B17">
            <w:pPr>
              <w:spacing w:line="300" w:lineRule="exact"/>
              <w:rPr>
                <w:rFonts w:ascii="微软雅黑" w:hAnsi="微软雅黑" w:eastAsia="微软雅黑" w:cs="微软雅黑"/>
                <w:sz w:val="24"/>
                <w:szCs w:val="24"/>
                <w:highlight w:val="none"/>
              </w:rPr>
            </w:pPr>
          </w:p>
        </w:tc>
      </w:tr>
      <w:tr w14:paraId="173D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6666C5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6C4CF9AC">
            <w:pPr>
              <w:spacing w:line="300" w:lineRule="exact"/>
              <w:rPr>
                <w:rFonts w:ascii="微软雅黑" w:hAnsi="微软雅黑" w:eastAsia="微软雅黑" w:cs="微软雅黑"/>
                <w:sz w:val="24"/>
                <w:szCs w:val="24"/>
                <w:highlight w:val="none"/>
              </w:rPr>
            </w:pPr>
          </w:p>
        </w:tc>
        <w:tc>
          <w:tcPr>
            <w:tcW w:w="1831" w:type="dxa"/>
            <w:noWrap w:val="0"/>
            <w:vAlign w:val="top"/>
          </w:tcPr>
          <w:p w14:paraId="2768207F">
            <w:pPr>
              <w:spacing w:line="300" w:lineRule="exact"/>
              <w:rPr>
                <w:rFonts w:ascii="微软雅黑" w:hAnsi="微软雅黑" w:eastAsia="微软雅黑" w:cs="微软雅黑"/>
                <w:sz w:val="24"/>
                <w:szCs w:val="24"/>
                <w:highlight w:val="none"/>
              </w:rPr>
            </w:pPr>
          </w:p>
        </w:tc>
        <w:tc>
          <w:tcPr>
            <w:tcW w:w="1590" w:type="dxa"/>
            <w:noWrap w:val="0"/>
            <w:vAlign w:val="top"/>
          </w:tcPr>
          <w:p w14:paraId="3BD32B0E">
            <w:pPr>
              <w:spacing w:line="300" w:lineRule="exact"/>
              <w:rPr>
                <w:rFonts w:ascii="微软雅黑" w:hAnsi="微软雅黑" w:eastAsia="微软雅黑" w:cs="微软雅黑"/>
                <w:sz w:val="24"/>
                <w:szCs w:val="24"/>
                <w:highlight w:val="none"/>
              </w:rPr>
            </w:pPr>
          </w:p>
        </w:tc>
        <w:tc>
          <w:tcPr>
            <w:tcW w:w="2249" w:type="dxa"/>
            <w:noWrap w:val="0"/>
            <w:vAlign w:val="top"/>
          </w:tcPr>
          <w:p w14:paraId="180606A6">
            <w:pPr>
              <w:spacing w:line="300" w:lineRule="exact"/>
              <w:rPr>
                <w:rFonts w:ascii="微软雅黑" w:hAnsi="微软雅黑" w:eastAsia="微软雅黑" w:cs="微软雅黑"/>
                <w:sz w:val="24"/>
                <w:szCs w:val="24"/>
                <w:highlight w:val="none"/>
              </w:rPr>
            </w:pPr>
          </w:p>
        </w:tc>
        <w:tc>
          <w:tcPr>
            <w:tcW w:w="1275" w:type="dxa"/>
            <w:noWrap w:val="0"/>
            <w:vAlign w:val="top"/>
          </w:tcPr>
          <w:p w14:paraId="7829B2C3">
            <w:pPr>
              <w:spacing w:line="300" w:lineRule="exact"/>
              <w:rPr>
                <w:rFonts w:ascii="微软雅黑" w:hAnsi="微软雅黑" w:eastAsia="微软雅黑" w:cs="微软雅黑"/>
                <w:sz w:val="24"/>
                <w:szCs w:val="24"/>
                <w:highlight w:val="none"/>
              </w:rPr>
            </w:pPr>
          </w:p>
        </w:tc>
      </w:tr>
      <w:tr w14:paraId="78B3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61954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1045EC0">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5954D604">
            <w:pPr>
              <w:spacing w:line="300" w:lineRule="exact"/>
              <w:rPr>
                <w:rFonts w:ascii="微软雅黑" w:hAnsi="微软雅黑" w:eastAsia="微软雅黑" w:cs="微软雅黑"/>
                <w:sz w:val="24"/>
                <w:szCs w:val="24"/>
                <w:highlight w:val="none"/>
              </w:rPr>
            </w:pPr>
          </w:p>
        </w:tc>
        <w:tc>
          <w:tcPr>
            <w:tcW w:w="1590" w:type="dxa"/>
            <w:noWrap w:val="0"/>
            <w:vAlign w:val="top"/>
          </w:tcPr>
          <w:p w14:paraId="33356266">
            <w:pPr>
              <w:spacing w:line="300" w:lineRule="exact"/>
              <w:rPr>
                <w:rFonts w:ascii="微软雅黑" w:hAnsi="微软雅黑" w:eastAsia="微软雅黑" w:cs="微软雅黑"/>
                <w:sz w:val="24"/>
                <w:szCs w:val="24"/>
                <w:highlight w:val="none"/>
              </w:rPr>
            </w:pPr>
          </w:p>
        </w:tc>
        <w:tc>
          <w:tcPr>
            <w:tcW w:w="2249" w:type="dxa"/>
            <w:noWrap w:val="0"/>
            <w:vAlign w:val="top"/>
          </w:tcPr>
          <w:p w14:paraId="637C1146">
            <w:pPr>
              <w:spacing w:line="300" w:lineRule="exact"/>
              <w:rPr>
                <w:rFonts w:ascii="微软雅黑" w:hAnsi="微软雅黑" w:eastAsia="微软雅黑" w:cs="微软雅黑"/>
                <w:sz w:val="24"/>
                <w:szCs w:val="24"/>
                <w:highlight w:val="none"/>
              </w:rPr>
            </w:pPr>
          </w:p>
        </w:tc>
        <w:tc>
          <w:tcPr>
            <w:tcW w:w="1275" w:type="dxa"/>
            <w:noWrap w:val="0"/>
            <w:vAlign w:val="top"/>
          </w:tcPr>
          <w:p w14:paraId="39E0DA34">
            <w:pPr>
              <w:spacing w:line="300" w:lineRule="exact"/>
              <w:rPr>
                <w:rFonts w:ascii="微软雅黑" w:hAnsi="微软雅黑" w:eastAsia="微软雅黑" w:cs="微软雅黑"/>
                <w:sz w:val="24"/>
                <w:szCs w:val="24"/>
                <w:highlight w:val="none"/>
              </w:rPr>
            </w:pPr>
          </w:p>
        </w:tc>
      </w:tr>
      <w:tr w14:paraId="3F44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0A053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1CEA6387">
            <w:pPr>
              <w:spacing w:line="300" w:lineRule="exact"/>
              <w:rPr>
                <w:rFonts w:ascii="微软雅黑" w:hAnsi="微软雅黑" w:eastAsia="微软雅黑" w:cs="微软雅黑"/>
                <w:sz w:val="24"/>
                <w:szCs w:val="24"/>
                <w:highlight w:val="none"/>
              </w:rPr>
            </w:pPr>
          </w:p>
        </w:tc>
        <w:tc>
          <w:tcPr>
            <w:tcW w:w="1831" w:type="dxa"/>
            <w:noWrap w:val="0"/>
            <w:vAlign w:val="top"/>
          </w:tcPr>
          <w:p w14:paraId="059B6F71">
            <w:pPr>
              <w:spacing w:line="300" w:lineRule="exact"/>
              <w:rPr>
                <w:rFonts w:ascii="微软雅黑" w:hAnsi="微软雅黑" w:eastAsia="微软雅黑" w:cs="微软雅黑"/>
                <w:sz w:val="24"/>
                <w:szCs w:val="24"/>
                <w:highlight w:val="none"/>
              </w:rPr>
            </w:pPr>
          </w:p>
        </w:tc>
        <w:tc>
          <w:tcPr>
            <w:tcW w:w="1590" w:type="dxa"/>
            <w:noWrap w:val="0"/>
            <w:vAlign w:val="top"/>
          </w:tcPr>
          <w:p w14:paraId="7E5BC3B3">
            <w:pPr>
              <w:spacing w:line="300" w:lineRule="exact"/>
              <w:rPr>
                <w:rFonts w:ascii="微软雅黑" w:hAnsi="微软雅黑" w:eastAsia="微软雅黑" w:cs="微软雅黑"/>
                <w:sz w:val="24"/>
                <w:szCs w:val="24"/>
                <w:highlight w:val="none"/>
              </w:rPr>
            </w:pPr>
          </w:p>
        </w:tc>
        <w:tc>
          <w:tcPr>
            <w:tcW w:w="2249" w:type="dxa"/>
            <w:noWrap w:val="0"/>
            <w:vAlign w:val="top"/>
          </w:tcPr>
          <w:p w14:paraId="11105971">
            <w:pPr>
              <w:spacing w:line="300" w:lineRule="exact"/>
              <w:rPr>
                <w:rFonts w:ascii="微软雅黑" w:hAnsi="微软雅黑" w:eastAsia="微软雅黑" w:cs="微软雅黑"/>
                <w:sz w:val="24"/>
                <w:szCs w:val="24"/>
                <w:highlight w:val="none"/>
              </w:rPr>
            </w:pPr>
          </w:p>
        </w:tc>
        <w:tc>
          <w:tcPr>
            <w:tcW w:w="1275" w:type="dxa"/>
            <w:noWrap w:val="0"/>
            <w:vAlign w:val="top"/>
          </w:tcPr>
          <w:p w14:paraId="509F4BC9">
            <w:pPr>
              <w:spacing w:line="300" w:lineRule="exact"/>
              <w:rPr>
                <w:rFonts w:ascii="微软雅黑" w:hAnsi="微软雅黑" w:eastAsia="微软雅黑" w:cs="微软雅黑"/>
                <w:sz w:val="24"/>
                <w:szCs w:val="24"/>
                <w:highlight w:val="none"/>
              </w:rPr>
            </w:pPr>
          </w:p>
        </w:tc>
      </w:tr>
      <w:tr w14:paraId="6B9E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4C3FD9">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2B0E4325">
            <w:pPr>
              <w:spacing w:line="300" w:lineRule="exact"/>
              <w:rPr>
                <w:rFonts w:ascii="微软雅黑" w:hAnsi="微软雅黑" w:eastAsia="微软雅黑" w:cs="微软雅黑"/>
                <w:sz w:val="24"/>
                <w:szCs w:val="24"/>
                <w:highlight w:val="none"/>
              </w:rPr>
            </w:pPr>
          </w:p>
        </w:tc>
        <w:tc>
          <w:tcPr>
            <w:tcW w:w="1831" w:type="dxa"/>
            <w:noWrap w:val="0"/>
            <w:vAlign w:val="top"/>
          </w:tcPr>
          <w:p w14:paraId="53067F4A">
            <w:pPr>
              <w:spacing w:line="300" w:lineRule="exact"/>
              <w:rPr>
                <w:rFonts w:ascii="微软雅黑" w:hAnsi="微软雅黑" w:eastAsia="微软雅黑" w:cs="微软雅黑"/>
                <w:sz w:val="24"/>
                <w:szCs w:val="24"/>
                <w:highlight w:val="none"/>
              </w:rPr>
            </w:pPr>
          </w:p>
        </w:tc>
        <w:tc>
          <w:tcPr>
            <w:tcW w:w="1590" w:type="dxa"/>
            <w:noWrap w:val="0"/>
            <w:vAlign w:val="top"/>
          </w:tcPr>
          <w:p w14:paraId="28B45228">
            <w:pPr>
              <w:spacing w:line="300" w:lineRule="exact"/>
              <w:rPr>
                <w:rFonts w:ascii="微软雅黑" w:hAnsi="微软雅黑" w:eastAsia="微软雅黑" w:cs="微软雅黑"/>
                <w:sz w:val="24"/>
                <w:szCs w:val="24"/>
                <w:highlight w:val="none"/>
              </w:rPr>
            </w:pPr>
          </w:p>
        </w:tc>
        <w:tc>
          <w:tcPr>
            <w:tcW w:w="2249" w:type="dxa"/>
            <w:noWrap w:val="0"/>
            <w:vAlign w:val="top"/>
          </w:tcPr>
          <w:p w14:paraId="7A454547">
            <w:pPr>
              <w:spacing w:line="300" w:lineRule="exact"/>
              <w:rPr>
                <w:rFonts w:ascii="微软雅黑" w:hAnsi="微软雅黑" w:eastAsia="微软雅黑" w:cs="微软雅黑"/>
                <w:sz w:val="24"/>
                <w:szCs w:val="24"/>
                <w:highlight w:val="none"/>
              </w:rPr>
            </w:pPr>
          </w:p>
        </w:tc>
        <w:tc>
          <w:tcPr>
            <w:tcW w:w="1275" w:type="dxa"/>
            <w:noWrap w:val="0"/>
            <w:vAlign w:val="top"/>
          </w:tcPr>
          <w:p w14:paraId="6A410BFB">
            <w:pPr>
              <w:spacing w:line="300" w:lineRule="exact"/>
              <w:rPr>
                <w:rFonts w:ascii="微软雅黑" w:hAnsi="微软雅黑" w:eastAsia="微软雅黑" w:cs="微软雅黑"/>
                <w:sz w:val="24"/>
                <w:szCs w:val="24"/>
                <w:highlight w:val="none"/>
              </w:rPr>
            </w:pPr>
          </w:p>
        </w:tc>
      </w:tr>
      <w:tr w14:paraId="6023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5A7C3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318B5A87">
            <w:pPr>
              <w:spacing w:line="300" w:lineRule="exact"/>
              <w:rPr>
                <w:rFonts w:ascii="微软雅黑" w:hAnsi="微软雅黑" w:eastAsia="微软雅黑" w:cs="微软雅黑"/>
                <w:sz w:val="24"/>
                <w:szCs w:val="24"/>
                <w:highlight w:val="none"/>
              </w:rPr>
            </w:pPr>
          </w:p>
        </w:tc>
        <w:tc>
          <w:tcPr>
            <w:tcW w:w="1831" w:type="dxa"/>
            <w:noWrap w:val="0"/>
            <w:vAlign w:val="top"/>
          </w:tcPr>
          <w:p w14:paraId="0D19EC3A">
            <w:pPr>
              <w:spacing w:line="300" w:lineRule="exact"/>
              <w:rPr>
                <w:rFonts w:ascii="微软雅黑" w:hAnsi="微软雅黑" w:eastAsia="微软雅黑" w:cs="微软雅黑"/>
                <w:sz w:val="24"/>
                <w:szCs w:val="24"/>
                <w:highlight w:val="none"/>
              </w:rPr>
            </w:pPr>
          </w:p>
        </w:tc>
        <w:tc>
          <w:tcPr>
            <w:tcW w:w="1590" w:type="dxa"/>
            <w:noWrap w:val="0"/>
            <w:vAlign w:val="top"/>
          </w:tcPr>
          <w:p w14:paraId="6CD00576">
            <w:pPr>
              <w:spacing w:line="300" w:lineRule="exact"/>
              <w:rPr>
                <w:rFonts w:ascii="微软雅黑" w:hAnsi="微软雅黑" w:eastAsia="微软雅黑" w:cs="微软雅黑"/>
                <w:sz w:val="24"/>
                <w:szCs w:val="24"/>
                <w:highlight w:val="none"/>
              </w:rPr>
            </w:pPr>
          </w:p>
        </w:tc>
        <w:tc>
          <w:tcPr>
            <w:tcW w:w="2249" w:type="dxa"/>
            <w:noWrap w:val="0"/>
            <w:vAlign w:val="top"/>
          </w:tcPr>
          <w:p w14:paraId="5ACE8C4F">
            <w:pPr>
              <w:spacing w:line="300" w:lineRule="exact"/>
              <w:rPr>
                <w:rFonts w:ascii="微软雅黑" w:hAnsi="微软雅黑" w:eastAsia="微软雅黑" w:cs="微软雅黑"/>
                <w:sz w:val="24"/>
                <w:szCs w:val="24"/>
                <w:highlight w:val="none"/>
              </w:rPr>
            </w:pPr>
          </w:p>
        </w:tc>
        <w:tc>
          <w:tcPr>
            <w:tcW w:w="1275" w:type="dxa"/>
            <w:noWrap w:val="0"/>
            <w:vAlign w:val="top"/>
          </w:tcPr>
          <w:p w14:paraId="7B021F2E">
            <w:pPr>
              <w:spacing w:line="300" w:lineRule="exact"/>
              <w:rPr>
                <w:rFonts w:ascii="微软雅黑" w:hAnsi="微软雅黑" w:eastAsia="微软雅黑" w:cs="微软雅黑"/>
                <w:sz w:val="24"/>
                <w:szCs w:val="24"/>
                <w:highlight w:val="none"/>
              </w:rPr>
            </w:pPr>
          </w:p>
        </w:tc>
      </w:tr>
      <w:tr w14:paraId="2538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95A550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1988DE6B">
            <w:pPr>
              <w:spacing w:line="300" w:lineRule="exact"/>
              <w:rPr>
                <w:rFonts w:ascii="微软雅黑" w:hAnsi="微软雅黑" w:eastAsia="微软雅黑" w:cs="微软雅黑"/>
                <w:sz w:val="24"/>
                <w:szCs w:val="24"/>
                <w:highlight w:val="none"/>
              </w:rPr>
            </w:pPr>
          </w:p>
        </w:tc>
        <w:tc>
          <w:tcPr>
            <w:tcW w:w="1831" w:type="dxa"/>
            <w:noWrap w:val="0"/>
            <w:vAlign w:val="top"/>
          </w:tcPr>
          <w:p w14:paraId="7DC1A72B">
            <w:pPr>
              <w:spacing w:line="300" w:lineRule="exact"/>
              <w:rPr>
                <w:rFonts w:ascii="微软雅黑" w:hAnsi="微软雅黑" w:eastAsia="微软雅黑" w:cs="微软雅黑"/>
                <w:sz w:val="24"/>
                <w:szCs w:val="24"/>
                <w:highlight w:val="none"/>
              </w:rPr>
            </w:pPr>
          </w:p>
        </w:tc>
        <w:tc>
          <w:tcPr>
            <w:tcW w:w="1590" w:type="dxa"/>
            <w:noWrap w:val="0"/>
            <w:vAlign w:val="top"/>
          </w:tcPr>
          <w:p w14:paraId="6B7E12B0">
            <w:pPr>
              <w:spacing w:line="300" w:lineRule="exact"/>
              <w:rPr>
                <w:rFonts w:ascii="微软雅黑" w:hAnsi="微软雅黑" w:eastAsia="微软雅黑" w:cs="微软雅黑"/>
                <w:sz w:val="24"/>
                <w:szCs w:val="24"/>
                <w:highlight w:val="none"/>
              </w:rPr>
            </w:pPr>
          </w:p>
        </w:tc>
        <w:tc>
          <w:tcPr>
            <w:tcW w:w="2249" w:type="dxa"/>
            <w:noWrap w:val="0"/>
            <w:vAlign w:val="top"/>
          </w:tcPr>
          <w:p w14:paraId="1D1B81FD">
            <w:pPr>
              <w:spacing w:line="300" w:lineRule="exact"/>
              <w:rPr>
                <w:rFonts w:ascii="微软雅黑" w:hAnsi="微软雅黑" w:eastAsia="微软雅黑" w:cs="微软雅黑"/>
                <w:sz w:val="24"/>
                <w:szCs w:val="24"/>
                <w:highlight w:val="none"/>
              </w:rPr>
            </w:pPr>
          </w:p>
        </w:tc>
        <w:tc>
          <w:tcPr>
            <w:tcW w:w="1275" w:type="dxa"/>
            <w:noWrap w:val="0"/>
            <w:vAlign w:val="top"/>
          </w:tcPr>
          <w:p w14:paraId="0D7A9167">
            <w:pPr>
              <w:spacing w:line="300" w:lineRule="exact"/>
              <w:rPr>
                <w:rFonts w:ascii="微软雅黑" w:hAnsi="微软雅黑" w:eastAsia="微软雅黑" w:cs="微软雅黑"/>
                <w:sz w:val="24"/>
                <w:szCs w:val="24"/>
                <w:highlight w:val="none"/>
              </w:rPr>
            </w:pPr>
          </w:p>
        </w:tc>
      </w:tr>
      <w:tr w14:paraId="35E2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EBD8A9">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1BD75C6">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28CB2B85">
            <w:pPr>
              <w:spacing w:line="300" w:lineRule="exact"/>
              <w:rPr>
                <w:rFonts w:ascii="微软雅黑" w:hAnsi="微软雅黑" w:eastAsia="微软雅黑" w:cs="微软雅黑"/>
                <w:sz w:val="24"/>
                <w:szCs w:val="24"/>
                <w:highlight w:val="none"/>
              </w:rPr>
            </w:pPr>
          </w:p>
        </w:tc>
      </w:tr>
    </w:tbl>
    <w:p w14:paraId="657B4979">
      <w:pPr>
        <w:pStyle w:val="11"/>
        <w:ind w:firstLine="0"/>
        <w:rPr>
          <w:rFonts w:hint="eastAsia"/>
          <w:highlight w:val="none"/>
        </w:rPr>
      </w:pPr>
    </w:p>
    <w:p w14:paraId="78C232FB">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12778A4">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6E70395A">
      <w:pPr>
        <w:spacing w:line="600" w:lineRule="exact"/>
        <w:ind w:firstLine="556" w:firstLineChars="200"/>
        <w:rPr>
          <w:rFonts w:ascii="微软雅黑" w:hAnsi="微软雅黑" w:eastAsia="微软雅黑" w:cs="微软雅黑"/>
          <w:sz w:val="30"/>
          <w:szCs w:val="30"/>
          <w:highlight w:val="none"/>
        </w:rPr>
      </w:pPr>
    </w:p>
    <w:p w14:paraId="2C10C28E">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6BCBD766">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4.响应文件具体响应情况请注明自身技术参数或具体内容，不得照搬参数需求内容，否则视为无效响应；佐证材料对应页码的对应位置应用下划线标注出来，否则视为无效响应。</w:t>
      </w:r>
    </w:p>
    <w:p w14:paraId="02CAA867">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75614352">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5A1DB5E">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0D15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46C3AD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1AC98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4805B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692C91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1430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08268CF">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E9ABDB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1CA1C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178433F">
            <w:pPr>
              <w:spacing w:line="594" w:lineRule="exact"/>
              <w:ind w:firstLine="556" w:firstLineChars="200"/>
              <w:rPr>
                <w:rFonts w:hint="eastAsia" w:ascii="微软雅黑" w:hAnsi="微软雅黑" w:eastAsia="微软雅黑"/>
                <w:sz w:val="30"/>
                <w:szCs w:val="30"/>
                <w:highlight w:val="none"/>
              </w:rPr>
            </w:pPr>
          </w:p>
        </w:tc>
      </w:tr>
      <w:tr w14:paraId="629D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42E33C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6C97D56">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DD7935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2D8E44">
            <w:pPr>
              <w:spacing w:line="594" w:lineRule="exact"/>
              <w:ind w:firstLine="556" w:firstLineChars="200"/>
              <w:rPr>
                <w:rFonts w:hint="eastAsia" w:ascii="微软雅黑" w:hAnsi="微软雅黑" w:eastAsia="微软雅黑"/>
                <w:sz w:val="30"/>
                <w:szCs w:val="30"/>
                <w:highlight w:val="none"/>
              </w:rPr>
            </w:pPr>
          </w:p>
        </w:tc>
      </w:tr>
      <w:tr w14:paraId="4074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DDF963C">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E585A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9B221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7BBD052">
            <w:pPr>
              <w:spacing w:line="594" w:lineRule="exact"/>
              <w:ind w:firstLine="556" w:firstLineChars="200"/>
              <w:rPr>
                <w:rFonts w:hint="eastAsia" w:ascii="微软雅黑" w:hAnsi="微软雅黑" w:eastAsia="微软雅黑"/>
                <w:sz w:val="30"/>
                <w:szCs w:val="30"/>
                <w:highlight w:val="none"/>
              </w:rPr>
            </w:pPr>
          </w:p>
        </w:tc>
      </w:tr>
      <w:tr w14:paraId="2D5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8B80C5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8D36EEA">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B7C5B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1A87363">
            <w:pPr>
              <w:spacing w:line="594" w:lineRule="exact"/>
              <w:ind w:firstLine="556" w:firstLineChars="200"/>
              <w:rPr>
                <w:rFonts w:hint="eastAsia" w:ascii="微软雅黑" w:hAnsi="微软雅黑" w:eastAsia="微软雅黑"/>
                <w:sz w:val="30"/>
                <w:szCs w:val="30"/>
                <w:highlight w:val="none"/>
              </w:rPr>
            </w:pPr>
          </w:p>
        </w:tc>
      </w:tr>
      <w:tr w14:paraId="4588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A068BB">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49757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194823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8D8CBE">
            <w:pPr>
              <w:spacing w:line="594" w:lineRule="exact"/>
              <w:ind w:firstLine="556" w:firstLineChars="200"/>
              <w:rPr>
                <w:rFonts w:hint="eastAsia" w:ascii="微软雅黑" w:hAnsi="微软雅黑" w:eastAsia="微软雅黑"/>
                <w:sz w:val="30"/>
                <w:szCs w:val="30"/>
                <w:highlight w:val="none"/>
              </w:rPr>
            </w:pPr>
          </w:p>
        </w:tc>
      </w:tr>
      <w:tr w14:paraId="0975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B26F2F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5FF80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2A13D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4D1AFDB">
            <w:pPr>
              <w:spacing w:line="594" w:lineRule="exact"/>
              <w:ind w:firstLine="556" w:firstLineChars="200"/>
              <w:rPr>
                <w:rFonts w:hint="eastAsia" w:ascii="微软雅黑" w:hAnsi="微软雅黑" w:eastAsia="微软雅黑"/>
                <w:sz w:val="30"/>
                <w:szCs w:val="30"/>
                <w:highlight w:val="none"/>
              </w:rPr>
            </w:pPr>
          </w:p>
        </w:tc>
      </w:tr>
      <w:tr w14:paraId="781B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A570834">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E20954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A57A96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58960D0">
            <w:pPr>
              <w:spacing w:line="594" w:lineRule="exact"/>
              <w:ind w:firstLine="556" w:firstLineChars="200"/>
              <w:rPr>
                <w:rFonts w:hint="eastAsia" w:ascii="微软雅黑" w:hAnsi="微软雅黑" w:eastAsia="微软雅黑"/>
                <w:sz w:val="30"/>
                <w:szCs w:val="30"/>
                <w:highlight w:val="none"/>
              </w:rPr>
            </w:pPr>
          </w:p>
        </w:tc>
      </w:tr>
      <w:tr w14:paraId="317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DC767F">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3419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282E6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A79B8C">
            <w:pPr>
              <w:spacing w:line="594" w:lineRule="exact"/>
              <w:ind w:firstLine="556" w:firstLineChars="200"/>
              <w:rPr>
                <w:rFonts w:hint="eastAsia" w:ascii="微软雅黑" w:hAnsi="微软雅黑" w:eastAsia="微软雅黑"/>
                <w:sz w:val="30"/>
                <w:szCs w:val="30"/>
                <w:highlight w:val="none"/>
              </w:rPr>
            </w:pPr>
          </w:p>
        </w:tc>
      </w:tr>
      <w:tr w14:paraId="052C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9D46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A352BE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DAF21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59193E">
            <w:pPr>
              <w:spacing w:line="594" w:lineRule="exact"/>
              <w:ind w:firstLine="556" w:firstLineChars="200"/>
              <w:rPr>
                <w:rFonts w:hint="eastAsia" w:ascii="微软雅黑" w:hAnsi="微软雅黑" w:eastAsia="微软雅黑"/>
                <w:sz w:val="30"/>
                <w:szCs w:val="30"/>
                <w:highlight w:val="none"/>
              </w:rPr>
            </w:pPr>
          </w:p>
        </w:tc>
      </w:tr>
      <w:tr w14:paraId="550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C279CE">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608137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09384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A15968">
            <w:pPr>
              <w:spacing w:line="594" w:lineRule="exact"/>
              <w:ind w:firstLine="556" w:firstLineChars="200"/>
              <w:rPr>
                <w:rFonts w:hint="eastAsia" w:ascii="微软雅黑" w:hAnsi="微软雅黑" w:eastAsia="微软雅黑"/>
                <w:sz w:val="30"/>
                <w:szCs w:val="30"/>
                <w:highlight w:val="none"/>
              </w:rPr>
            </w:pPr>
          </w:p>
        </w:tc>
      </w:tr>
    </w:tbl>
    <w:p w14:paraId="67D9B301">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57ED30DA">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2AE7914D">
      <w:pPr>
        <w:pStyle w:val="5"/>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17BEE425">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10A33686">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0A01844">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32001A"/>
    <w:multiLevelType w:val="singleLevel"/>
    <w:tmpl w:val="D532001A"/>
    <w:lvl w:ilvl="0" w:tentative="0">
      <w:start w:val="2"/>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BB6D7D"/>
    <w:rsid w:val="014A6652"/>
    <w:rsid w:val="015B6D6E"/>
    <w:rsid w:val="027111C2"/>
    <w:rsid w:val="02DD1A2B"/>
    <w:rsid w:val="03404493"/>
    <w:rsid w:val="03CE68FB"/>
    <w:rsid w:val="041961A8"/>
    <w:rsid w:val="0493386E"/>
    <w:rsid w:val="04C70F47"/>
    <w:rsid w:val="04E723E0"/>
    <w:rsid w:val="052A5AE8"/>
    <w:rsid w:val="053E0EA6"/>
    <w:rsid w:val="05483AD3"/>
    <w:rsid w:val="056E5276"/>
    <w:rsid w:val="058D14E6"/>
    <w:rsid w:val="06FB539B"/>
    <w:rsid w:val="07212DDD"/>
    <w:rsid w:val="076E4620"/>
    <w:rsid w:val="07F82B6D"/>
    <w:rsid w:val="08BF2007"/>
    <w:rsid w:val="09046655"/>
    <w:rsid w:val="093D7B02"/>
    <w:rsid w:val="098E4DDC"/>
    <w:rsid w:val="0B993AA9"/>
    <w:rsid w:val="0C714BCF"/>
    <w:rsid w:val="0C872834"/>
    <w:rsid w:val="0C974041"/>
    <w:rsid w:val="0CE64C8D"/>
    <w:rsid w:val="0D026C5D"/>
    <w:rsid w:val="0D0C6C6B"/>
    <w:rsid w:val="0D1904D8"/>
    <w:rsid w:val="0D646FBB"/>
    <w:rsid w:val="0DF02F5A"/>
    <w:rsid w:val="0E440BB0"/>
    <w:rsid w:val="0E6637FD"/>
    <w:rsid w:val="0E6753E5"/>
    <w:rsid w:val="0E9F1F75"/>
    <w:rsid w:val="0EA306B8"/>
    <w:rsid w:val="0EAE2BD9"/>
    <w:rsid w:val="0EB67D00"/>
    <w:rsid w:val="0ECF0DC1"/>
    <w:rsid w:val="0F4D0AAA"/>
    <w:rsid w:val="0F8419BC"/>
    <w:rsid w:val="0F851480"/>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956850"/>
    <w:rsid w:val="15A87E7A"/>
    <w:rsid w:val="15D4217A"/>
    <w:rsid w:val="1706559C"/>
    <w:rsid w:val="17E53404"/>
    <w:rsid w:val="18EC242C"/>
    <w:rsid w:val="1922346A"/>
    <w:rsid w:val="19380134"/>
    <w:rsid w:val="19402EE9"/>
    <w:rsid w:val="1A00445C"/>
    <w:rsid w:val="1AAE2C67"/>
    <w:rsid w:val="1AF86BE0"/>
    <w:rsid w:val="1B3306B6"/>
    <w:rsid w:val="1B5F2E11"/>
    <w:rsid w:val="1BDD4D8A"/>
    <w:rsid w:val="1BDE0896"/>
    <w:rsid w:val="1BFA5B62"/>
    <w:rsid w:val="1C1979BC"/>
    <w:rsid w:val="1C5E79A5"/>
    <w:rsid w:val="1C6472FC"/>
    <w:rsid w:val="1CE4012E"/>
    <w:rsid w:val="1CF00EFC"/>
    <w:rsid w:val="1DB61742"/>
    <w:rsid w:val="1E935967"/>
    <w:rsid w:val="1F0A567B"/>
    <w:rsid w:val="1F2F00AB"/>
    <w:rsid w:val="1F702630"/>
    <w:rsid w:val="1F8452B0"/>
    <w:rsid w:val="2027068C"/>
    <w:rsid w:val="203A5155"/>
    <w:rsid w:val="205210D9"/>
    <w:rsid w:val="20746E51"/>
    <w:rsid w:val="20896382"/>
    <w:rsid w:val="20BC3722"/>
    <w:rsid w:val="21426D4A"/>
    <w:rsid w:val="215F0650"/>
    <w:rsid w:val="22965A26"/>
    <w:rsid w:val="233D75DC"/>
    <w:rsid w:val="236757CC"/>
    <w:rsid w:val="23FB11F4"/>
    <w:rsid w:val="247973AD"/>
    <w:rsid w:val="2657371E"/>
    <w:rsid w:val="28256D6A"/>
    <w:rsid w:val="28275AF0"/>
    <w:rsid w:val="28A234E4"/>
    <w:rsid w:val="28EC134D"/>
    <w:rsid w:val="29233095"/>
    <w:rsid w:val="29AE2A56"/>
    <w:rsid w:val="2AC62C21"/>
    <w:rsid w:val="2B19589B"/>
    <w:rsid w:val="2B6A7A50"/>
    <w:rsid w:val="2BAE2033"/>
    <w:rsid w:val="2BD1187D"/>
    <w:rsid w:val="2C3529EE"/>
    <w:rsid w:val="2C5002AE"/>
    <w:rsid w:val="2CC21BF8"/>
    <w:rsid w:val="2CCA628B"/>
    <w:rsid w:val="2D304052"/>
    <w:rsid w:val="2E0113DE"/>
    <w:rsid w:val="2E7B4030"/>
    <w:rsid w:val="2EEF5DC8"/>
    <w:rsid w:val="2F2F3117"/>
    <w:rsid w:val="2FC44243"/>
    <w:rsid w:val="306A297E"/>
    <w:rsid w:val="31092EA8"/>
    <w:rsid w:val="31B12793"/>
    <w:rsid w:val="31F462C5"/>
    <w:rsid w:val="33D97E69"/>
    <w:rsid w:val="33FB61AD"/>
    <w:rsid w:val="342C6BC9"/>
    <w:rsid w:val="348E0C53"/>
    <w:rsid w:val="35216558"/>
    <w:rsid w:val="355F2BEC"/>
    <w:rsid w:val="35761799"/>
    <w:rsid w:val="359B4383"/>
    <w:rsid w:val="35B94105"/>
    <w:rsid w:val="360845B7"/>
    <w:rsid w:val="36857E34"/>
    <w:rsid w:val="36D36DF1"/>
    <w:rsid w:val="36ED77AA"/>
    <w:rsid w:val="375A7F25"/>
    <w:rsid w:val="376E6279"/>
    <w:rsid w:val="38A14340"/>
    <w:rsid w:val="38E04CA4"/>
    <w:rsid w:val="396A2364"/>
    <w:rsid w:val="3996258D"/>
    <w:rsid w:val="3A013C75"/>
    <w:rsid w:val="3A6A181A"/>
    <w:rsid w:val="3A800389"/>
    <w:rsid w:val="3B5000A4"/>
    <w:rsid w:val="3B8763FC"/>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8E3A24"/>
    <w:rsid w:val="46F74436"/>
    <w:rsid w:val="474B1D32"/>
    <w:rsid w:val="475D7492"/>
    <w:rsid w:val="47A04ACD"/>
    <w:rsid w:val="47CA56A6"/>
    <w:rsid w:val="47D66741"/>
    <w:rsid w:val="47ED66D2"/>
    <w:rsid w:val="482D6FF9"/>
    <w:rsid w:val="485B637D"/>
    <w:rsid w:val="48607974"/>
    <w:rsid w:val="48832656"/>
    <w:rsid w:val="496140CE"/>
    <w:rsid w:val="49995C78"/>
    <w:rsid w:val="4AE139DB"/>
    <w:rsid w:val="4B2941E0"/>
    <w:rsid w:val="4BDB0A24"/>
    <w:rsid w:val="4C094415"/>
    <w:rsid w:val="4C31315D"/>
    <w:rsid w:val="4D001BA2"/>
    <w:rsid w:val="4D524E62"/>
    <w:rsid w:val="4EF37BD9"/>
    <w:rsid w:val="4F2E29BF"/>
    <w:rsid w:val="4F6D75ED"/>
    <w:rsid w:val="50A33062"/>
    <w:rsid w:val="50DC6F8F"/>
    <w:rsid w:val="5116436F"/>
    <w:rsid w:val="51352B6B"/>
    <w:rsid w:val="51A72EFC"/>
    <w:rsid w:val="52181704"/>
    <w:rsid w:val="52D53472"/>
    <w:rsid w:val="53A17F68"/>
    <w:rsid w:val="53D5512C"/>
    <w:rsid w:val="53D8739D"/>
    <w:rsid w:val="53DB6C22"/>
    <w:rsid w:val="53FB2F26"/>
    <w:rsid w:val="541D6876"/>
    <w:rsid w:val="54B6568B"/>
    <w:rsid w:val="55085A60"/>
    <w:rsid w:val="55A90FF1"/>
    <w:rsid w:val="55BB5978"/>
    <w:rsid w:val="55F45FE4"/>
    <w:rsid w:val="5683561C"/>
    <w:rsid w:val="586B764B"/>
    <w:rsid w:val="59343196"/>
    <w:rsid w:val="599E0097"/>
    <w:rsid w:val="5A201514"/>
    <w:rsid w:val="5ADB7D78"/>
    <w:rsid w:val="5BB04DF0"/>
    <w:rsid w:val="5C6A3582"/>
    <w:rsid w:val="5C700ABB"/>
    <w:rsid w:val="5CAE778C"/>
    <w:rsid w:val="5D6C0A93"/>
    <w:rsid w:val="5D915A0E"/>
    <w:rsid w:val="5DBD061A"/>
    <w:rsid w:val="5E932E93"/>
    <w:rsid w:val="5ED014C1"/>
    <w:rsid w:val="5ED6097D"/>
    <w:rsid w:val="5F04373C"/>
    <w:rsid w:val="5FA4498B"/>
    <w:rsid w:val="5FE71921"/>
    <w:rsid w:val="60480506"/>
    <w:rsid w:val="605A1F17"/>
    <w:rsid w:val="60643E84"/>
    <w:rsid w:val="606E3A2D"/>
    <w:rsid w:val="61130716"/>
    <w:rsid w:val="61143219"/>
    <w:rsid w:val="6125074A"/>
    <w:rsid w:val="615C2960"/>
    <w:rsid w:val="61707CCC"/>
    <w:rsid w:val="618F69CF"/>
    <w:rsid w:val="61A6052D"/>
    <w:rsid w:val="623E37BE"/>
    <w:rsid w:val="626B6216"/>
    <w:rsid w:val="628B104E"/>
    <w:rsid w:val="63097573"/>
    <w:rsid w:val="635B1617"/>
    <w:rsid w:val="63814C5E"/>
    <w:rsid w:val="63C87B70"/>
    <w:rsid w:val="63FA2F2B"/>
    <w:rsid w:val="64077B7B"/>
    <w:rsid w:val="641D2F42"/>
    <w:rsid w:val="64AF5C1A"/>
    <w:rsid w:val="651C3DE1"/>
    <w:rsid w:val="65A11CE5"/>
    <w:rsid w:val="65AE7F5E"/>
    <w:rsid w:val="667408C9"/>
    <w:rsid w:val="66A178F0"/>
    <w:rsid w:val="66E75E1D"/>
    <w:rsid w:val="671B1623"/>
    <w:rsid w:val="676C7036"/>
    <w:rsid w:val="67BC2E06"/>
    <w:rsid w:val="67CF5844"/>
    <w:rsid w:val="685314B5"/>
    <w:rsid w:val="685968A7"/>
    <w:rsid w:val="688E513D"/>
    <w:rsid w:val="69841E39"/>
    <w:rsid w:val="699456BD"/>
    <w:rsid w:val="69D01878"/>
    <w:rsid w:val="69F61ED3"/>
    <w:rsid w:val="6A1F4430"/>
    <w:rsid w:val="6A3540AA"/>
    <w:rsid w:val="6A8B4D12"/>
    <w:rsid w:val="6AAB53B4"/>
    <w:rsid w:val="6B247663"/>
    <w:rsid w:val="6BDA6A70"/>
    <w:rsid w:val="6C90660F"/>
    <w:rsid w:val="6D1F523E"/>
    <w:rsid w:val="6D38732A"/>
    <w:rsid w:val="6D8617C0"/>
    <w:rsid w:val="6DD05A39"/>
    <w:rsid w:val="6E0252EB"/>
    <w:rsid w:val="6EC6360F"/>
    <w:rsid w:val="6EE24C47"/>
    <w:rsid w:val="6F9E4E89"/>
    <w:rsid w:val="6FB940CF"/>
    <w:rsid w:val="704D7FCB"/>
    <w:rsid w:val="70897355"/>
    <w:rsid w:val="70FF5B11"/>
    <w:rsid w:val="71025602"/>
    <w:rsid w:val="712B71E9"/>
    <w:rsid w:val="713118C3"/>
    <w:rsid w:val="716B1BD6"/>
    <w:rsid w:val="71A165C4"/>
    <w:rsid w:val="71C02C3F"/>
    <w:rsid w:val="71EB6954"/>
    <w:rsid w:val="727B2178"/>
    <w:rsid w:val="72BB5C94"/>
    <w:rsid w:val="72D1624D"/>
    <w:rsid w:val="72FB7C35"/>
    <w:rsid w:val="732B3BA9"/>
    <w:rsid w:val="73327033"/>
    <w:rsid w:val="73B01AE0"/>
    <w:rsid w:val="743B31FA"/>
    <w:rsid w:val="74463A57"/>
    <w:rsid w:val="74664EBC"/>
    <w:rsid w:val="748E4735"/>
    <w:rsid w:val="749649DF"/>
    <w:rsid w:val="74A2126A"/>
    <w:rsid w:val="74EA3555"/>
    <w:rsid w:val="750F77E4"/>
    <w:rsid w:val="759E1D9D"/>
    <w:rsid w:val="761A5C47"/>
    <w:rsid w:val="76320737"/>
    <w:rsid w:val="76DD4F9D"/>
    <w:rsid w:val="774B1AB0"/>
    <w:rsid w:val="777A05E8"/>
    <w:rsid w:val="779416A9"/>
    <w:rsid w:val="77DC750A"/>
    <w:rsid w:val="77FA34D6"/>
    <w:rsid w:val="78024143"/>
    <w:rsid w:val="782B18E2"/>
    <w:rsid w:val="7834054B"/>
    <w:rsid w:val="78F42BEF"/>
    <w:rsid w:val="78F54CD1"/>
    <w:rsid w:val="79140C21"/>
    <w:rsid w:val="799B64FC"/>
    <w:rsid w:val="7ACF7754"/>
    <w:rsid w:val="7AF0174A"/>
    <w:rsid w:val="7B203254"/>
    <w:rsid w:val="7B537186"/>
    <w:rsid w:val="7B5B245B"/>
    <w:rsid w:val="7B5C1973"/>
    <w:rsid w:val="7B6018A2"/>
    <w:rsid w:val="7BDE27F0"/>
    <w:rsid w:val="7C0B7A60"/>
    <w:rsid w:val="7C4A1FD6"/>
    <w:rsid w:val="7C6F2CF1"/>
    <w:rsid w:val="7C6F561D"/>
    <w:rsid w:val="7CA659DB"/>
    <w:rsid w:val="7CAD6D69"/>
    <w:rsid w:val="7CB244A3"/>
    <w:rsid w:val="7D506B01"/>
    <w:rsid w:val="7DF438B1"/>
    <w:rsid w:val="7E4E00D8"/>
    <w:rsid w:val="7E8C71A6"/>
    <w:rsid w:val="7E9A0AAB"/>
    <w:rsid w:val="7EA6506C"/>
    <w:rsid w:val="7EE67CE4"/>
    <w:rsid w:val="7F8D69DE"/>
    <w:rsid w:val="7FA70494"/>
    <w:rsid w:val="7FBC4A80"/>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8388</Words>
  <Characters>8738</Characters>
  <Lines>0</Lines>
  <Paragraphs>0</Paragraphs>
  <TotalTime>59</TotalTime>
  <ScaleCrop>false</ScaleCrop>
  <LinksUpToDate>false</LinksUpToDate>
  <CharactersWithSpaces>9403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2026-04-30T07:36:24Z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8CE962A34437498F963D501CD8FC93F8_13</vt:lpwstr>
  </property>
  <property fmtid="{D5CDD505-2E9C-101B-9397-08002B2CF9AE}" pid="4" name="KSOTemplateDocerSaveRecord">
    <vt:lpwstr>eyJoZGlkIjoiNzdkNTM4MTkwYTE0Yjk0Y2Y4MjVlZDcwOGViZTQwYjIiLCJ1c2VySWQiOiIxMTc2NDE1MTk0In0=</vt:lpwstr>
  </property>
</Properties>
</file>