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项目名称：火灾公众责任险（第二次）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编号：BSRMYY-YNCG-2026-01003</w:t>
      </w:r>
      <w:bookmarkStart w:id="7" w:name="_GoBack"/>
      <w:bookmarkEnd w:id="7"/>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9"/>
        <w:gridCol w:w="1429"/>
        <w:gridCol w:w="1254"/>
        <w:gridCol w:w="2209"/>
        <w:gridCol w:w="1993"/>
      </w:tblGrid>
      <w:tr w14:paraId="27E7C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2459"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429"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54"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209"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993" w:type="dxa"/>
            <w:vAlign w:val="center"/>
          </w:tcPr>
          <w:p w14:paraId="64EC4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5E2A0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01" w:hRule="atLeast"/>
          <w:jc w:val="center"/>
        </w:trPr>
        <w:tc>
          <w:tcPr>
            <w:tcW w:w="2459"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1429"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 xml:space="preserve">206400 </w:t>
            </w:r>
          </w:p>
        </w:tc>
        <w:tc>
          <w:tcPr>
            <w:tcW w:w="1254"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平方米</w:t>
            </w:r>
          </w:p>
        </w:tc>
        <w:tc>
          <w:tcPr>
            <w:tcW w:w="2209" w:type="dxa"/>
            <w:vAlign w:val="center"/>
          </w:tcPr>
          <w:p w14:paraId="3BEB525A">
            <w:pPr>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0.15</w:t>
            </w:r>
          </w:p>
        </w:tc>
        <w:tc>
          <w:tcPr>
            <w:tcW w:w="1993" w:type="dxa"/>
            <w:vAlign w:val="center"/>
          </w:tcPr>
          <w:p w14:paraId="566A9801">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30960</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07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8"/>
        <w:gridCol w:w="7462"/>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9"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731"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服务要求</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9" w:hRule="atLeast"/>
          <w:jc w:val="center"/>
        </w:trPr>
        <w:tc>
          <w:tcPr>
            <w:tcW w:w="1269"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3731" w:type="pct"/>
            <w:shd w:val="clear" w:color="auto" w:fill="auto"/>
            <w:vAlign w:val="center"/>
          </w:tcPr>
          <w:p w14:paraId="1E2186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1.在保险期间内，被保险人在保障场所内发生火灾、爆炸等造成第三者人身损害，由被保险人承担的经济赔偿责任，保险人按照保险合同约定负责赔偿；</w:t>
            </w:r>
          </w:p>
          <w:p w14:paraId="40E58AD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2.保险事故发生后，被保险人因保险事故而被提起仲裁或者诉讼的，对应由被保险人支付的仲裁或诉讼费用以及事先经保险人书面同意支付的其它必要的、合理的费用，保险人按照保险合同约定也负责赔偿；</w:t>
            </w:r>
          </w:p>
          <w:p w14:paraId="78939D9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3.采购人</w:t>
            </w:r>
            <w:r>
              <w:rPr>
                <w:rFonts w:hint="default" w:ascii="方正仿宋_GBK" w:hAnsi="方正仿宋_GBK" w:eastAsia="方正仿宋_GBK" w:cs="方正仿宋_GBK"/>
                <w:b/>
                <w:bCs/>
                <w:kern w:val="2"/>
                <w:sz w:val="28"/>
                <w:szCs w:val="28"/>
                <w:highlight w:val="none"/>
                <w:lang w:val="en-US" w:eastAsia="zh-CN" w:bidi="ar-SA"/>
              </w:rPr>
              <w:t>总建筑面积206400㎡（含新院区183600㎡、发热门诊1800㎡、东关院区15000㎡、感染病院区6000㎡），保期</w:t>
            </w:r>
            <w:r>
              <w:rPr>
                <w:rFonts w:hint="eastAsia" w:ascii="方正仿宋_GBK" w:hAnsi="方正仿宋_GBK" w:eastAsia="方正仿宋_GBK" w:cs="方正仿宋_GBK"/>
                <w:b/>
                <w:bCs/>
                <w:kern w:val="2"/>
                <w:sz w:val="28"/>
                <w:szCs w:val="28"/>
                <w:highlight w:val="none"/>
                <w:lang w:val="en-US" w:eastAsia="zh-CN" w:bidi="ar-SA"/>
              </w:rPr>
              <w:t>不少于</w:t>
            </w:r>
            <w:r>
              <w:rPr>
                <w:rFonts w:hint="default" w:ascii="方正仿宋_GBK" w:hAnsi="方正仿宋_GBK" w:eastAsia="方正仿宋_GBK" w:cs="方正仿宋_GBK"/>
                <w:b/>
                <w:bCs/>
                <w:kern w:val="2"/>
                <w:sz w:val="28"/>
                <w:szCs w:val="28"/>
                <w:highlight w:val="none"/>
                <w:lang w:val="en-US" w:eastAsia="zh-CN" w:bidi="ar-SA"/>
              </w:rPr>
              <w:t>一年（以购买生效期为准），人财保额不低于1200万</w:t>
            </w:r>
            <w:r>
              <w:rPr>
                <w:rFonts w:hint="eastAsia" w:ascii="方正仿宋_GBK" w:hAnsi="方正仿宋_GBK" w:eastAsia="方正仿宋_GBK" w:cs="方正仿宋_GBK"/>
                <w:b/>
                <w:bCs/>
                <w:kern w:val="2"/>
                <w:sz w:val="28"/>
                <w:szCs w:val="28"/>
                <w:highlight w:val="none"/>
                <w:lang w:val="en-US" w:eastAsia="zh-CN" w:bidi="ar-SA"/>
              </w:rPr>
              <w:t>（主险不低于800万，每人责任限额不低于20万，每次事故每人意外医疗不低于2万；第三者财产损失责任保险不低于400万；事故免赔金额为0元）</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r>
        <w:rPr>
          <w:rFonts w:hint="eastAsia" w:ascii="方正仿宋_GBK" w:hAnsi="方正仿宋_GBK" w:eastAsia="方正仿宋_GBK" w:cs="方正仿宋_GBK"/>
          <w:b w:val="0"/>
          <w:bCs w:val="0"/>
          <w:color w:val="auto"/>
          <w:sz w:val="32"/>
          <w:szCs w:val="32"/>
          <w:highlight w:val="none"/>
          <w:lang w:val="en-US" w:eastAsia="zh-CN"/>
        </w:rPr>
        <w:t>供应商</w:t>
      </w:r>
      <w:r>
        <w:rPr>
          <w:rFonts w:hint="default" w:ascii="方正仿宋_GBK" w:hAnsi="方正仿宋_GBK" w:eastAsia="方正仿宋_GBK" w:cs="方正仿宋_GBK"/>
          <w:b w:val="0"/>
          <w:bCs w:val="0"/>
          <w:color w:val="auto"/>
          <w:sz w:val="32"/>
          <w:szCs w:val="32"/>
          <w:highlight w:val="none"/>
          <w:lang w:eastAsia="zh-CN"/>
        </w:rPr>
        <w:t>营业执照的经营范围必须明确包含</w:t>
      </w:r>
      <w:r>
        <w:rPr>
          <w:rFonts w:hint="eastAsia" w:ascii="方正仿宋_GBK" w:hAnsi="方正仿宋_GBK" w:eastAsia="方正仿宋_GBK" w:cs="方正仿宋_GBK"/>
          <w:b w:val="0"/>
          <w:bCs w:val="0"/>
          <w:color w:val="auto"/>
          <w:sz w:val="32"/>
          <w:szCs w:val="32"/>
          <w:highlight w:val="none"/>
          <w:lang w:val="en-US" w:eastAsia="zh-CN"/>
        </w:rPr>
        <w:t>火灾</w:t>
      </w:r>
      <w:r>
        <w:rPr>
          <w:rFonts w:hint="default" w:ascii="方正仿宋_GBK" w:hAnsi="方正仿宋_GBK" w:eastAsia="方正仿宋_GBK" w:cs="方正仿宋_GBK"/>
          <w:b w:val="0"/>
          <w:bCs w:val="0"/>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15FF3572">
      <w:pPr>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1.持有国家金融监督管理总局（原银保监会）颁发的《保险公司法人许可证》和《经营保险业务许可证》。</w:t>
      </w:r>
    </w:p>
    <w:p w14:paraId="1C89D3AC">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2.其他法律法规要求的条件。</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本项目最高限价30960元</w:t>
      </w:r>
      <w:r>
        <w:rPr>
          <w:rFonts w:hint="eastAsia" w:ascii="方正仿宋_GBK" w:hAnsi="方正仿宋_GBK" w:eastAsia="方正仿宋_GBK" w:cs="方正仿宋_GBK"/>
          <w:b w:val="0"/>
          <w:bCs w:val="0"/>
          <w:color w:val="auto"/>
          <w:kern w:val="0"/>
          <w:sz w:val="32"/>
          <w:szCs w:val="32"/>
          <w:highlight w:val="none"/>
          <w:lang w:val="en-US" w:eastAsia="zh-CN"/>
        </w:rPr>
        <w:t>。报价要求：包干价，包括但不限于项目服务费、保险费、税费、定损费、鉴定费、验收检测费、资料装订及邮寄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07362E7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724121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服务期满进行验收，按照采购招标文件服务要求逐项验收，验收产生争议由采购人邀请第三方机构检测，费用由供应商承担。</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（七）踏勘现场</w:t>
      </w:r>
    </w:p>
    <w:p w14:paraId="11B2508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踏勘现场了解采购人各建筑实际情况，现场踏勘（踏勘现场联系人：后勤保障部雷杰，联系电话18983198009；踏勘现场须提供营业执照、供应商法人身份证明及法人授权委托书）应充分了解各院区项目位置、</w:t>
      </w:r>
      <w:r>
        <w:rPr>
          <w:rFonts w:hint="eastAsia" w:ascii="方正仿宋_GBK" w:hAnsi="方正仿宋_GBK" w:eastAsia="方正仿宋_GBK" w:cs="方正仿宋_GBK"/>
          <w:b w:val="0"/>
          <w:bCs w:val="0"/>
          <w:color w:val="auto"/>
          <w:sz w:val="32"/>
          <w:szCs w:val="32"/>
          <w:highlight w:val="none"/>
          <w:lang w:val="en-US" w:eastAsia="zh-CN"/>
        </w:rPr>
        <w:t>采购人的房屋及使用状况、</w:t>
      </w:r>
      <w:r>
        <w:rPr>
          <w:rFonts w:hint="eastAsia" w:ascii="方正仿宋_GBK" w:hAnsi="方正仿宋_GBK" w:eastAsia="方正仿宋_GBK" w:cs="方正仿宋_GBK"/>
          <w:b w:val="0"/>
          <w:bCs w:val="0"/>
          <w:color w:val="auto"/>
          <w:kern w:val="0"/>
          <w:sz w:val="32"/>
          <w:szCs w:val="32"/>
          <w:highlight w:val="none"/>
          <w:lang w:val="en-US" w:eastAsia="zh-CN"/>
        </w:rPr>
        <w:t>运行情况、周边环境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成交供应商应当为采购人提供技术援助电话，在30分钟内响应解答采购人在使用中遇到的问题，及时为采购人提出解决问题的建议。电话咨询不能解决的，应4小时内到达采购人进行处理。</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泄露采购人信息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（十）合同终止情形</w:t>
      </w:r>
    </w:p>
    <w:p w14:paraId="4D6CCA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出现不良事件；供应商廉洁违纪行为；供应商主动放弃等。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F55B47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12.现场踏勘情况记录表</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048ABD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lang w:val="en-US" w:eastAsia="zh-CN"/>
        </w:rPr>
        <w:t>供应商</w:t>
      </w:r>
      <w:r>
        <w:rPr>
          <w:rFonts w:hint="default" w:ascii="方正仿宋_GBK" w:hAnsi="方正仿宋_GBK" w:eastAsia="方正仿宋_GBK" w:cs="方正仿宋_GBK"/>
          <w:color w:val="auto"/>
          <w:sz w:val="32"/>
          <w:szCs w:val="32"/>
          <w:highlight w:val="none"/>
          <w:lang w:eastAsia="zh-CN"/>
        </w:rPr>
        <w:t>营业执照的经营范围必须明确包含</w:t>
      </w:r>
      <w:r>
        <w:rPr>
          <w:rFonts w:hint="eastAsia" w:ascii="方正仿宋_GBK" w:hAnsi="方正仿宋_GBK" w:eastAsia="方正仿宋_GBK" w:cs="方正仿宋_GBK"/>
          <w:color w:val="auto"/>
          <w:sz w:val="32"/>
          <w:szCs w:val="32"/>
          <w:highlight w:val="none"/>
          <w:lang w:val="en-US" w:eastAsia="zh-CN"/>
        </w:rPr>
        <w:t>火灾</w:t>
      </w:r>
      <w:r>
        <w:rPr>
          <w:rFonts w:hint="default" w:ascii="方正仿宋_GBK" w:hAnsi="方正仿宋_GBK" w:eastAsia="方正仿宋_GBK" w:cs="方正仿宋_GBK"/>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58E14C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87311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398822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5AB4358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78D0A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0B71E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03EA2DBA">
      <w:pPr>
        <w:pStyle w:val="11"/>
        <w:keepNext w:val="0"/>
        <w:keepLines w:val="0"/>
        <w:widowControl/>
        <w:suppressLineNumbers w:val="0"/>
        <w:spacing w:before="0" w:beforeAutospacing="0" w:after="0" w:afterAutospacing="0"/>
        <w:ind w:left="0" w:right="0" w:firstLine="640" w:firstLineChars="200"/>
        <w:jc w:val="left"/>
        <w:rPr>
          <w:highlight w:val="none"/>
        </w:rPr>
      </w:pPr>
      <w:r>
        <w:rPr>
          <w:rFonts w:hint="eastAsia" w:ascii="方正仿宋_GBK" w:hAnsi="方正仿宋_GBK" w:eastAsia="方正仿宋_GBK" w:cs="方正仿宋_GBK"/>
          <w:color w:val="auto"/>
          <w:kern w:val="2"/>
          <w:sz w:val="32"/>
          <w:szCs w:val="32"/>
          <w:highlight w:val="none"/>
          <w:lang w:val="en-US" w:eastAsia="zh-CN" w:bidi="ar-SA"/>
        </w:rPr>
        <w:t>持有国家金融监督管理总局（原银保监会）颁发的《保险公司法人许可证》和《经营保险业务许可证》。</w:t>
      </w:r>
    </w:p>
    <w:p w14:paraId="6A392A40">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其他法律法规要求的条件。</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237057793"/>
      <w:bookmarkStart w:id="2" w:name="_Toc128229747"/>
      <w:bookmarkStart w:id="3" w:name="_Toc128014297"/>
      <w:bookmarkStart w:id="4" w:name="_Toc173677399"/>
      <w:bookmarkStart w:id="5" w:name="_Toc175017344"/>
      <w:bookmarkStart w:id="6" w:name="_Toc12822930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5"/>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响应文件具体响应情况部分请注明产品自身技术参数或具体内容，不得照搬参数需求内容，否则视为无效响应；佐证材料对应页码的对应位置应用下划线标注出来，否则视为无效响应。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5E17E8B">
      <w:pPr>
        <w:jc w:val="center"/>
        <w:rPr>
          <w:rFonts w:hint="eastAsia" w:ascii="仿宋_GB2312" w:hAnsi="宋体" w:eastAsia="仿宋_GB2312"/>
          <w:b/>
          <w:snapToGrid w:val="0"/>
          <w:color w:val="auto"/>
          <w:kern w:val="0"/>
          <w:sz w:val="40"/>
          <w:szCs w:val="28"/>
          <w:highlight w:val="none"/>
          <w:lang w:val="en-US" w:eastAsia="zh-CN"/>
        </w:rPr>
      </w:pPr>
      <w:r>
        <w:rPr>
          <w:rFonts w:hint="eastAsia" w:ascii="仿宋_GB2312" w:hAnsi="宋体" w:eastAsia="仿宋_GB2312"/>
          <w:b/>
          <w:snapToGrid w:val="0"/>
          <w:color w:val="auto"/>
          <w:kern w:val="0"/>
          <w:sz w:val="40"/>
          <w:szCs w:val="28"/>
          <w:highlight w:val="none"/>
          <w:lang w:val="en-US" w:eastAsia="zh-CN"/>
        </w:rPr>
        <w:t>现场踏勘情况记录表</w:t>
      </w:r>
    </w:p>
    <w:tbl>
      <w:tblPr>
        <w:tblStyle w:val="14"/>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14:paraId="609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8E">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F6B">
            <w:pPr>
              <w:rPr>
                <w:rFonts w:hint="eastAsia" w:ascii="方正仿宋_GBK" w:hAnsi="方正仿宋_GBK" w:eastAsia="方正仿宋_GBK" w:cs="方正仿宋_GBK"/>
                <w:i w:val="0"/>
                <w:iCs w:val="0"/>
                <w:color w:val="000000"/>
                <w:sz w:val="28"/>
                <w:szCs w:val="28"/>
                <w:highlight w:val="none"/>
                <w:u w:val="none"/>
              </w:rPr>
            </w:pPr>
          </w:p>
        </w:tc>
      </w:tr>
      <w:tr w14:paraId="2D7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B6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99F">
            <w:pPr>
              <w:rPr>
                <w:rFonts w:hint="eastAsia" w:ascii="方正仿宋_GBK" w:hAnsi="方正仿宋_GBK" w:eastAsia="方正仿宋_GBK" w:cs="方正仿宋_GBK"/>
                <w:i w:val="0"/>
                <w:iCs w:val="0"/>
                <w:color w:val="000000"/>
                <w:sz w:val="28"/>
                <w:szCs w:val="28"/>
                <w:highlight w:val="none"/>
                <w:u w:val="none"/>
              </w:rPr>
            </w:pPr>
          </w:p>
        </w:tc>
      </w:tr>
      <w:tr w14:paraId="0BC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A891F8">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主要踏勘内容：</w:t>
            </w:r>
          </w:p>
        </w:tc>
      </w:tr>
      <w:tr w14:paraId="66F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16E17">
            <w:pPr>
              <w:rPr>
                <w:rFonts w:hint="eastAsia" w:ascii="方正仿宋_GBK" w:hAnsi="方正仿宋_GBK" w:eastAsia="方正仿宋_GBK" w:cs="方正仿宋_GBK"/>
                <w:i w:val="0"/>
                <w:iCs w:val="0"/>
                <w:color w:val="000000"/>
                <w:sz w:val="28"/>
                <w:szCs w:val="28"/>
                <w:highlight w:val="none"/>
                <w:u w:val="none"/>
              </w:rPr>
            </w:pPr>
          </w:p>
        </w:tc>
      </w:tr>
      <w:tr w14:paraId="7F02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9197">
            <w:pPr>
              <w:rPr>
                <w:rFonts w:hint="eastAsia" w:ascii="方正仿宋_GBK" w:hAnsi="方正仿宋_GBK" w:eastAsia="方正仿宋_GBK" w:cs="方正仿宋_GBK"/>
                <w:i w:val="0"/>
                <w:iCs w:val="0"/>
                <w:color w:val="000000"/>
                <w:sz w:val="28"/>
                <w:szCs w:val="28"/>
                <w:highlight w:val="none"/>
                <w:u w:val="none"/>
              </w:rPr>
            </w:pPr>
          </w:p>
        </w:tc>
      </w:tr>
      <w:tr w14:paraId="48C6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80EEC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14:paraId="3F030BBB">
            <w:pPr>
              <w:rPr>
                <w:rFonts w:hint="eastAsia" w:ascii="方正仿宋_GBK" w:hAnsi="方正仿宋_GBK" w:eastAsia="方正仿宋_GBK" w:cs="方正仿宋_GBK"/>
                <w:i w:val="0"/>
                <w:iCs w:val="0"/>
                <w:color w:val="000000"/>
                <w:sz w:val="28"/>
                <w:szCs w:val="28"/>
                <w:highlight w:val="none"/>
                <w:u w:val="none"/>
              </w:rPr>
            </w:pPr>
          </w:p>
        </w:tc>
      </w:tr>
      <w:tr w14:paraId="155A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20C54AC1">
            <w:pPr>
              <w:rPr>
                <w:rFonts w:hint="eastAsia" w:ascii="方正仿宋_GBK" w:hAnsi="方正仿宋_GBK" w:eastAsia="方正仿宋_GBK" w:cs="方正仿宋_GBK"/>
                <w:i w:val="0"/>
                <w:iCs w:val="0"/>
                <w:color w:val="000000"/>
                <w:sz w:val="28"/>
                <w:szCs w:val="28"/>
                <w:highlight w:val="none"/>
                <w:u w:val="none"/>
              </w:rPr>
            </w:pPr>
          </w:p>
        </w:tc>
        <w:tc>
          <w:tcPr>
            <w:tcW w:w="4468" w:type="dxa"/>
            <w:tcBorders>
              <w:top w:val="nil"/>
              <w:left w:val="nil"/>
              <w:bottom w:val="nil"/>
              <w:right w:val="nil"/>
            </w:tcBorders>
            <w:shd w:val="clear" w:color="auto" w:fill="auto"/>
            <w:noWrap/>
            <w:vAlign w:val="center"/>
          </w:tcPr>
          <w:p w14:paraId="52131649">
            <w:pPr>
              <w:rPr>
                <w:rFonts w:hint="eastAsia" w:ascii="方正仿宋_GBK" w:hAnsi="方正仿宋_GBK" w:eastAsia="方正仿宋_GBK" w:cs="方正仿宋_GBK"/>
                <w:i w:val="0"/>
                <w:iCs w:val="0"/>
                <w:color w:val="000000"/>
                <w:sz w:val="28"/>
                <w:szCs w:val="28"/>
                <w:highlight w:val="none"/>
                <w:u w:val="none"/>
              </w:rPr>
            </w:pPr>
          </w:p>
        </w:tc>
      </w:tr>
      <w:tr w14:paraId="2DCA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C722B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14:paraId="7A3F707E">
            <w:pPr>
              <w:rPr>
                <w:rFonts w:hint="eastAsia" w:ascii="方正仿宋_GBK" w:hAnsi="方正仿宋_GBK" w:eastAsia="方正仿宋_GBK" w:cs="方正仿宋_GBK"/>
                <w:i w:val="0"/>
                <w:iCs w:val="0"/>
                <w:color w:val="000000"/>
                <w:sz w:val="28"/>
                <w:szCs w:val="28"/>
                <w:highlight w:val="none"/>
                <w:u w:val="none"/>
              </w:rPr>
            </w:pPr>
          </w:p>
        </w:tc>
      </w:tr>
    </w:tbl>
    <w:p w14:paraId="2A53A1E4">
      <w:pPr>
        <w:pStyle w:val="5"/>
        <w:jc w:val="center"/>
        <w:rPr>
          <w:rFonts w:hint="eastAsia" w:ascii="仿宋_GB2312" w:hAnsi="宋体" w:eastAsia="仿宋_GB2312"/>
          <w:b/>
          <w:snapToGrid w:val="0"/>
          <w:color w:val="auto"/>
          <w:kern w:val="0"/>
          <w:sz w:val="40"/>
          <w:szCs w:val="28"/>
          <w:highlight w:val="none"/>
          <w:lang w:val="en-US" w:eastAsia="zh-CN"/>
        </w:rPr>
      </w:pPr>
    </w:p>
    <w:p w14:paraId="60BAC8A7">
      <w:pPr>
        <w:pStyle w:val="5"/>
        <w:jc w:val="center"/>
        <w:rPr>
          <w:rFonts w:hint="eastAsia" w:ascii="仿宋_GB2312" w:hAnsi="宋体" w:eastAsia="仿宋_GB2312"/>
          <w:b/>
          <w:snapToGrid w:val="0"/>
          <w:color w:val="auto"/>
          <w:kern w:val="0"/>
          <w:sz w:val="40"/>
          <w:szCs w:val="28"/>
          <w:highlight w:val="none"/>
          <w:lang w:val="en-US" w:eastAsia="zh-CN"/>
        </w:rPr>
      </w:pPr>
    </w:p>
    <w:p w14:paraId="64BF6EC8">
      <w:pPr>
        <w:pStyle w:val="5"/>
        <w:jc w:val="center"/>
        <w:rPr>
          <w:rFonts w:hint="eastAsia" w:ascii="仿宋_GB2312" w:hAnsi="宋体" w:eastAsia="仿宋_GB2312"/>
          <w:b/>
          <w:snapToGrid w:val="0"/>
          <w:color w:val="auto"/>
          <w:kern w:val="0"/>
          <w:sz w:val="40"/>
          <w:szCs w:val="28"/>
          <w:highlight w:val="none"/>
          <w:lang w:val="en-US" w:eastAsia="zh-CN"/>
        </w:rPr>
      </w:pP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w:t>
      </w:r>
      <w:r>
        <w:rPr>
          <w:rFonts w:hint="eastAsia" w:ascii="仿宋_GB2312" w:hAnsi="宋体" w:eastAsia="仿宋_GB2312"/>
          <w:color w:val="auto"/>
          <w:sz w:val="24"/>
          <w:highlight w:val="none"/>
          <w:lang w:eastAsia="zh-CN"/>
        </w:rPr>
        <w:t>采购人</w:t>
      </w:r>
      <w:r>
        <w:rPr>
          <w:rFonts w:hint="eastAsia" w:ascii="仿宋_GB2312" w:hAnsi="宋体" w:eastAsia="仿宋_GB2312"/>
          <w:color w:val="auto"/>
          <w:sz w:val="24"/>
          <w:highlight w:val="none"/>
        </w:rPr>
        <w:t>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投标人遵守党、国家、行业、采购人的廉政纪律要求，已对相关相关人员进行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采购人及第三方合法权益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将主动向采购人纪检监察室进行举报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签订采购合同后才发现违规行为，按采购合同和采购人供应商不良行为制度</w:t>
      </w:r>
      <w:r>
        <w:rPr>
          <w:rFonts w:hint="eastAsia" w:ascii="仿宋_GB2312" w:hAnsi="宋体" w:eastAsia="仿宋_GB2312"/>
          <w:sz w:val="24"/>
          <w:highlight w:val="none"/>
          <w:lang w:val="en-US" w:eastAsia="zh-CN"/>
        </w:rPr>
        <w:t>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211AD4"/>
    <w:rsid w:val="015024C4"/>
    <w:rsid w:val="015B6D6E"/>
    <w:rsid w:val="02E501FA"/>
    <w:rsid w:val="03A6604F"/>
    <w:rsid w:val="03A67C4F"/>
    <w:rsid w:val="03CE68FB"/>
    <w:rsid w:val="041961A8"/>
    <w:rsid w:val="044A060F"/>
    <w:rsid w:val="04C70F47"/>
    <w:rsid w:val="05216546"/>
    <w:rsid w:val="056E5276"/>
    <w:rsid w:val="06361B7E"/>
    <w:rsid w:val="06FB539B"/>
    <w:rsid w:val="074B78AB"/>
    <w:rsid w:val="07F82B6D"/>
    <w:rsid w:val="082F30B8"/>
    <w:rsid w:val="09604328"/>
    <w:rsid w:val="0A86348F"/>
    <w:rsid w:val="0AD61857"/>
    <w:rsid w:val="0BCE4B39"/>
    <w:rsid w:val="0C872834"/>
    <w:rsid w:val="0C974041"/>
    <w:rsid w:val="0CB1115F"/>
    <w:rsid w:val="0CE64C8D"/>
    <w:rsid w:val="0D5C636E"/>
    <w:rsid w:val="0D913B3D"/>
    <w:rsid w:val="0DDA36B0"/>
    <w:rsid w:val="0DDC74AE"/>
    <w:rsid w:val="0E440BB0"/>
    <w:rsid w:val="0E6637FD"/>
    <w:rsid w:val="0E6753E5"/>
    <w:rsid w:val="0E9F1F75"/>
    <w:rsid w:val="0EC35F79"/>
    <w:rsid w:val="0EE859DF"/>
    <w:rsid w:val="0F3D73C4"/>
    <w:rsid w:val="0FAB7A71"/>
    <w:rsid w:val="0FD01451"/>
    <w:rsid w:val="10914580"/>
    <w:rsid w:val="10945E1E"/>
    <w:rsid w:val="109A11ED"/>
    <w:rsid w:val="11594F0F"/>
    <w:rsid w:val="118C7961"/>
    <w:rsid w:val="122D0B62"/>
    <w:rsid w:val="12D44BF8"/>
    <w:rsid w:val="133D5E0A"/>
    <w:rsid w:val="1752433D"/>
    <w:rsid w:val="17772668"/>
    <w:rsid w:val="1922346A"/>
    <w:rsid w:val="19375EE1"/>
    <w:rsid w:val="194849D3"/>
    <w:rsid w:val="19FC6B1C"/>
    <w:rsid w:val="1A1C7FE3"/>
    <w:rsid w:val="1AAE2C67"/>
    <w:rsid w:val="1AC15A62"/>
    <w:rsid w:val="1AF86BE0"/>
    <w:rsid w:val="1B3306B6"/>
    <w:rsid w:val="1B825B7B"/>
    <w:rsid w:val="1BDE0896"/>
    <w:rsid w:val="1CF00EFC"/>
    <w:rsid w:val="1E552F6B"/>
    <w:rsid w:val="1F2F00AB"/>
    <w:rsid w:val="203839CB"/>
    <w:rsid w:val="20464723"/>
    <w:rsid w:val="20746E51"/>
    <w:rsid w:val="21426D4A"/>
    <w:rsid w:val="219739C1"/>
    <w:rsid w:val="22240453"/>
    <w:rsid w:val="229A0B71"/>
    <w:rsid w:val="22F03C5B"/>
    <w:rsid w:val="236757CC"/>
    <w:rsid w:val="23FB11F4"/>
    <w:rsid w:val="24D32F62"/>
    <w:rsid w:val="257162D7"/>
    <w:rsid w:val="26541E80"/>
    <w:rsid w:val="26887D7C"/>
    <w:rsid w:val="26EB3E67"/>
    <w:rsid w:val="28687E65"/>
    <w:rsid w:val="2942556D"/>
    <w:rsid w:val="29AE2A56"/>
    <w:rsid w:val="29F1586C"/>
    <w:rsid w:val="29FA37EC"/>
    <w:rsid w:val="2A402D6D"/>
    <w:rsid w:val="2A4A0D9B"/>
    <w:rsid w:val="2C3529EE"/>
    <w:rsid w:val="2C7E2617"/>
    <w:rsid w:val="2CC37769"/>
    <w:rsid w:val="2CE61358"/>
    <w:rsid w:val="2CF00317"/>
    <w:rsid w:val="2E813A2E"/>
    <w:rsid w:val="2EB12E1E"/>
    <w:rsid w:val="2F2F3117"/>
    <w:rsid w:val="2FC44243"/>
    <w:rsid w:val="30433499"/>
    <w:rsid w:val="31092EA8"/>
    <w:rsid w:val="31E75266"/>
    <w:rsid w:val="3200110E"/>
    <w:rsid w:val="32214672"/>
    <w:rsid w:val="33FB61AD"/>
    <w:rsid w:val="342C6BC9"/>
    <w:rsid w:val="3566572C"/>
    <w:rsid w:val="35761799"/>
    <w:rsid w:val="357C2FC3"/>
    <w:rsid w:val="36432BB5"/>
    <w:rsid w:val="367F4573"/>
    <w:rsid w:val="376E6279"/>
    <w:rsid w:val="38A14340"/>
    <w:rsid w:val="38FA1D7C"/>
    <w:rsid w:val="38FD3E94"/>
    <w:rsid w:val="396A2364"/>
    <w:rsid w:val="39986CE0"/>
    <w:rsid w:val="3A2C5456"/>
    <w:rsid w:val="3A8A6AFB"/>
    <w:rsid w:val="3B5B7766"/>
    <w:rsid w:val="3B9A7DAE"/>
    <w:rsid w:val="3CBC6F89"/>
    <w:rsid w:val="3D8263F7"/>
    <w:rsid w:val="3E2D2C46"/>
    <w:rsid w:val="3E9F6BB4"/>
    <w:rsid w:val="40447A99"/>
    <w:rsid w:val="40611EDD"/>
    <w:rsid w:val="41B900E2"/>
    <w:rsid w:val="439873F8"/>
    <w:rsid w:val="442069E9"/>
    <w:rsid w:val="44C5770F"/>
    <w:rsid w:val="44EF71C4"/>
    <w:rsid w:val="45170BAD"/>
    <w:rsid w:val="45EF05E5"/>
    <w:rsid w:val="46A77952"/>
    <w:rsid w:val="471277E6"/>
    <w:rsid w:val="473F7C96"/>
    <w:rsid w:val="47514A22"/>
    <w:rsid w:val="475D7492"/>
    <w:rsid w:val="482D6FF9"/>
    <w:rsid w:val="49470D20"/>
    <w:rsid w:val="496140CE"/>
    <w:rsid w:val="49970B50"/>
    <w:rsid w:val="4A317C5F"/>
    <w:rsid w:val="4AA416B0"/>
    <w:rsid w:val="4AE139DB"/>
    <w:rsid w:val="4B782C5C"/>
    <w:rsid w:val="4BDB0A24"/>
    <w:rsid w:val="4C31315D"/>
    <w:rsid w:val="4CF84A64"/>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A3572F7"/>
    <w:rsid w:val="5B25654A"/>
    <w:rsid w:val="5BB04553"/>
    <w:rsid w:val="5BD41136"/>
    <w:rsid w:val="5D352EBF"/>
    <w:rsid w:val="5DBD061A"/>
    <w:rsid w:val="5E932E93"/>
    <w:rsid w:val="5EE05174"/>
    <w:rsid w:val="5FA4498B"/>
    <w:rsid w:val="603C0CB4"/>
    <w:rsid w:val="609E179C"/>
    <w:rsid w:val="610619ED"/>
    <w:rsid w:val="61130716"/>
    <w:rsid w:val="61143219"/>
    <w:rsid w:val="6138591F"/>
    <w:rsid w:val="61707CCC"/>
    <w:rsid w:val="61A6052D"/>
    <w:rsid w:val="626B6216"/>
    <w:rsid w:val="635822A8"/>
    <w:rsid w:val="637666C3"/>
    <w:rsid w:val="63814C5E"/>
    <w:rsid w:val="643E385E"/>
    <w:rsid w:val="649966D5"/>
    <w:rsid w:val="64B2548C"/>
    <w:rsid w:val="66F928BE"/>
    <w:rsid w:val="672653BF"/>
    <w:rsid w:val="67CF5844"/>
    <w:rsid w:val="69D01878"/>
    <w:rsid w:val="6A1F4430"/>
    <w:rsid w:val="6B247663"/>
    <w:rsid w:val="6B2E2D87"/>
    <w:rsid w:val="6BAB20AE"/>
    <w:rsid w:val="6D1A412B"/>
    <w:rsid w:val="6D1F523E"/>
    <w:rsid w:val="6D204144"/>
    <w:rsid w:val="6D38732A"/>
    <w:rsid w:val="6DD05A39"/>
    <w:rsid w:val="6E6164B5"/>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7A5E66"/>
    <w:rsid w:val="75E0445A"/>
    <w:rsid w:val="76B92C06"/>
    <w:rsid w:val="77991C4E"/>
    <w:rsid w:val="77FA34D6"/>
    <w:rsid w:val="78024143"/>
    <w:rsid w:val="796C68A4"/>
    <w:rsid w:val="798264FA"/>
    <w:rsid w:val="799B64FC"/>
    <w:rsid w:val="79E9735F"/>
    <w:rsid w:val="7A0F3269"/>
    <w:rsid w:val="7AF0174A"/>
    <w:rsid w:val="7B700883"/>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6520</Words>
  <Characters>6745</Characters>
  <Lines>0</Lines>
  <Paragraphs>0</Paragraphs>
  <TotalTime>22</TotalTime>
  <ScaleCrop>false</ScaleCrop>
  <LinksUpToDate>false</LinksUpToDate>
  <CharactersWithSpaces>7423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2026-01-20T09:11:46Z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978C5C95A97547C79BC4F032EA7EAEE1_13</vt:lpwstr>
  </property>
  <property fmtid="{D5CDD505-2E9C-101B-9397-08002B2CF9AE}" pid="4" name="KSOTemplateDocerSaveRecord">
    <vt:lpwstr>eyJoZGlkIjoiNzdkNTM4MTkwYTE0Yjk0Y2Y4MjVlZDcwOGViZTQwYjIiLCJ1c2VySWQiOiIxMTc2NDE1MTk0In0=</vt:lpwstr>
  </property>
</Properties>
</file>