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501B2">
      <w:pPr>
        <w:rPr>
          <w:rFonts w:hint="eastAsia"/>
          <w:lang w:val="en-US" w:eastAsia="zh-CN"/>
        </w:rPr>
      </w:pPr>
    </w:p>
    <w:p w14:paraId="27EB9DD5">
      <w:pPr>
        <w:rPr>
          <w:rFonts w:hint="eastAsia"/>
          <w:lang w:val="en-US" w:eastAsia="zh-CN"/>
        </w:rPr>
      </w:pPr>
    </w:p>
    <w:p w14:paraId="3E70C9F3">
      <w:pPr>
        <w:jc w:val="center"/>
        <w:rPr>
          <w:rFonts w:hint="eastAsia"/>
          <w:b/>
          <w:bCs/>
          <w:sz w:val="84"/>
          <w:szCs w:val="84"/>
          <w:lang w:val="en-US" w:eastAsia="zh-CN"/>
        </w:rPr>
      </w:pPr>
    </w:p>
    <w:p w14:paraId="1EC09FD4">
      <w:pPr>
        <w:jc w:val="center"/>
        <w:rPr>
          <w:rFonts w:hint="eastAsia"/>
          <w:b/>
          <w:bCs/>
          <w:sz w:val="84"/>
          <w:szCs w:val="84"/>
          <w:lang w:val="en-US" w:eastAsia="zh-CN"/>
        </w:rPr>
      </w:pPr>
      <w:r>
        <w:rPr>
          <w:rFonts w:hint="eastAsia"/>
          <w:b/>
          <w:bCs/>
          <w:sz w:val="84"/>
          <w:szCs w:val="84"/>
          <w:lang w:val="en-US" w:eastAsia="zh-CN"/>
        </w:rPr>
        <w:t>院内询价投标文件</w:t>
      </w:r>
    </w:p>
    <w:p w14:paraId="40943098">
      <w:pPr>
        <w:jc w:val="center"/>
        <w:rPr>
          <w:rFonts w:hint="eastAsia"/>
          <w:b/>
          <w:bCs/>
          <w:sz w:val="44"/>
          <w:szCs w:val="44"/>
          <w:lang w:val="en-US" w:eastAsia="zh-CN"/>
        </w:rPr>
      </w:pPr>
    </w:p>
    <w:p w14:paraId="5F367717">
      <w:pPr>
        <w:rPr>
          <w:rFonts w:hint="eastAsia"/>
          <w:sz w:val="32"/>
          <w:szCs w:val="32"/>
          <w:lang w:val="en-US" w:eastAsia="zh-CN"/>
        </w:rPr>
      </w:pPr>
    </w:p>
    <w:p w14:paraId="74DB49C2">
      <w:pPr>
        <w:rPr>
          <w:rFonts w:hint="eastAsia"/>
          <w:sz w:val="32"/>
          <w:szCs w:val="32"/>
          <w:lang w:val="en-US" w:eastAsia="zh-CN"/>
        </w:rPr>
      </w:pPr>
    </w:p>
    <w:p w14:paraId="59B216AF">
      <w:pPr>
        <w:rPr>
          <w:rFonts w:hint="eastAsia"/>
          <w:sz w:val="32"/>
          <w:szCs w:val="32"/>
          <w:lang w:val="en-US" w:eastAsia="zh-CN"/>
        </w:rPr>
      </w:pPr>
    </w:p>
    <w:p w14:paraId="3FEB8B88">
      <w:pPr>
        <w:rPr>
          <w:rFonts w:hint="eastAsia"/>
          <w:sz w:val="32"/>
          <w:szCs w:val="32"/>
          <w:lang w:val="en-US" w:eastAsia="zh-CN"/>
        </w:rPr>
      </w:pPr>
    </w:p>
    <w:p w14:paraId="102BD6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w:t>
      </w:r>
      <w:r>
        <w:rPr>
          <w:rFonts w:hint="eastAsia"/>
          <w:sz w:val="40"/>
          <w:szCs w:val="40"/>
          <w:lang w:val="en-US" w:eastAsia="zh-CN"/>
        </w:rPr>
        <w:t>行政楼负一楼部分风管拆除和更换改造工程</w:t>
      </w:r>
    </w:p>
    <w:p w14:paraId="26F7067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项目编号：BSRMYY-YNCG-2025-12016</w:t>
      </w:r>
    </w:p>
    <w:p w14:paraId="750652B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采购人（名称）：</w:t>
      </w:r>
    </w:p>
    <w:p w14:paraId="1C782AC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3F70C1F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5CDE4DE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708362C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C29681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53380A8B">
      <w:pPr>
        <w:rPr>
          <w:rFonts w:hint="eastAsia"/>
          <w:sz w:val="44"/>
          <w:szCs w:val="44"/>
          <w:lang w:val="en-US" w:eastAsia="zh-CN"/>
        </w:rPr>
      </w:pPr>
      <w:r>
        <w:rPr>
          <w:rFonts w:hint="eastAsia"/>
          <w:sz w:val="44"/>
          <w:szCs w:val="44"/>
          <w:lang w:val="en-US" w:eastAsia="zh-CN"/>
        </w:rPr>
        <w:br w:type="page"/>
      </w:r>
    </w:p>
    <w:p w14:paraId="0792A3C0">
      <w:pPr>
        <w:rPr>
          <w:rFonts w:hint="eastAsia" w:ascii="仿宋_GB2312" w:hAnsi="宋体" w:eastAsia="仿宋_GB2312" w:cs="宋体"/>
          <w:color w:val="auto"/>
          <w:sz w:val="32"/>
          <w:szCs w:val="32"/>
          <w:lang w:val="zh-CN"/>
        </w:rPr>
      </w:pPr>
    </w:p>
    <w:p w14:paraId="1E79917F">
      <w:pPr>
        <w:jc w:val="center"/>
        <w:rPr>
          <w:rFonts w:hint="eastAsia"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40"/>
          <w:szCs w:val="40"/>
          <w:lang w:val="en-US" w:eastAsia="zh-CN"/>
        </w:rPr>
        <w:t>改造工程院内招采要求</w:t>
      </w:r>
    </w:p>
    <w:p w14:paraId="7E77B294">
      <w:pPr>
        <w:pageBreakBefore w:val="0"/>
        <w:widowControl w:val="0"/>
        <w:numPr>
          <w:ilvl w:val="0"/>
          <w:numId w:val="0"/>
        </w:numPr>
        <w:shd w:val="clear" w:fill="FFFFFF" w:themeFill="background1"/>
        <w:kinsoku/>
        <w:wordWrap/>
        <w:overflowPunct/>
        <w:topLinePunct w:val="0"/>
        <w:autoSpaceDE/>
        <w:autoSpaceDN/>
        <w:bidi w:val="0"/>
        <w:adjustRightInd/>
        <w:spacing w:line="580" w:lineRule="exact"/>
        <w:ind w:leftChars="304"/>
        <w:jc w:val="center"/>
        <w:textAlignment w:val="auto"/>
        <w:rPr>
          <w:rFonts w:hint="eastAsia" w:ascii="方正小标宋_GBK" w:hAnsi="方正小标宋_GBK" w:eastAsia="方正小标宋_GBK" w:cs="方正小标宋_GBK"/>
          <w:b/>
          <w:bCs/>
          <w:i w:val="0"/>
          <w:iCs w:val="0"/>
          <w:caps w:val="0"/>
          <w:color w:val="auto"/>
          <w:spacing w:val="0"/>
          <w:sz w:val="44"/>
          <w:szCs w:val="44"/>
          <w:shd w:val="clear" w:color="auto" w:fill="auto"/>
          <w:lang w:val="en-US" w:eastAsia="zh-CN"/>
        </w:rPr>
      </w:pPr>
    </w:p>
    <w:p w14:paraId="6993FA7F">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3" w:firstLineChars="200"/>
        <w:textAlignment w:val="auto"/>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一、工程概况</w:t>
      </w:r>
    </w:p>
    <w:p w14:paraId="20D6975D">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3" w:firstLineChars="200"/>
        <w:textAlignment w:val="auto"/>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（一）项目基本信息</w:t>
      </w:r>
    </w:p>
    <w:p w14:paraId="2812A435">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工程名称：行政楼负一楼部分风管拆除和更换改造工程</w:t>
      </w:r>
    </w:p>
    <w:p w14:paraId="10F507B2">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工程地点：重庆市璧山区人民医院双星大道9号负一楼车库35-54号车位区域</w:t>
      </w:r>
    </w:p>
    <w:p w14:paraId="520A1D3E">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工程范围：</w:t>
      </w:r>
    </w:p>
    <w:p w14:paraId="3888668C">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拆除工程：241 ㎡通风风管拆除、风口及风阀拆除；</w:t>
      </w:r>
    </w:p>
    <w:p w14:paraId="6CD3CE4B">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安装工程：风管支架安装 31m，材料采用∠40 的角钢、风管修补、风管更换（1m 长度以上风管采用 1.2mm 镀锌铁皮， 1m 长度以下采用 1.0mm 镀锌铁皮，更换面积 241 ㎡）；</w:t>
      </w:r>
    </w:p>
    <w:p w14:paraId="746BF5E3">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配套工程：风口及风阀恢复安装、防排烟系统调试、施工垃圾出渣（预计总量 28m³) 。</w:t>
      </w:r>
    </w:p>
    <w:p w14:paraId="27DD287F">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建设工期：合同签订后15个日历日</w:t>
      </w:r>
    </w:p>
    <w:p w14:paraId="2FD45A37">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资金预算及来源：该项目共预算49372.8元，由重庆市璧山区人民医院自筹资金</w:t>
      </w:r>
    </w:p>
    <w:p w14:paraId="4C809942">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供应商特殊资质要求：具有有效的消防设施工程专业承包贰级及以上资质;供应商具备行业主管部门颁发的有效的安全生产许可证。注:须提供有效的资质证书副本复印件和有效的安全生产许可证复印件并加盖公章。</w:t>
      </w:r>
    </w:p>
    <w:p w14:paraId="6232AD24">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3" w:firstLineChars="200"/>
        <w:textAlignment w:val="auto"/>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 二）工程特点</w:t>
      </w:r>
    </w:p>
    <w:p w14:paraId="32B39AC5">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1.施工需兼顾拆除与安装衔接，需在医院非高峰时段作业（每日 22:00 - 次 日6:00），减少对车辆通行及就医秩序影响；</w:t>
      </w:r>
    </w:p>
    <w:p w14:paraId="20754911">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2.风管规格差异化（1m 以上 / 以下厚度不同），需精准匹配材料及施工工艺，支架安装需满足承重及抗震要求；</w:t>
      </w:r>
    </w:p>
    <w:p w14:paraId="0215864B">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3.防排烟系统调试需联动消防控制中心 ，确保符合 GB 51251-2017《建筑防烟排烟系统技术标准》。</w:t>
      </w:r>
    </w:p>
    <w:p w14:paraId="5010489C">
      <w:pPr>
        <w:numPr>
          <w:ilvl w:val="0"/>
          <w:numId w:val="0"/>
        </w:numPr>
        <w:shd w:val="clear" w:fill="FFFFFF" w:themeFill="background1"/>
        <w:bidi w:val="0"/>
        <w:ind w:firstLine="640" w:firstLineChars="20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二、商务要求</w:t>
      </w:r>
    </w:p>
    <w:p w14:paraId="3395D3E1">
      <w:pPr>
        <w:pStyle w:val="3"/>
        <w:ind w:firstLine="640" w:firstLineChars="200"/>
        <w:rPr>
          <w:rFonts w:hint="default"/>
          <w:lang w:val="en-US" w:eastAsia="zh-CN"/>
        </w:rPr>
      </w:pPr>
      <w:r>
        <w:rPr>
          <w:rFonts w:hint="eastAsia" w:ascii="方正仿宋_GBK" w:hAnsi="方正仿宋_GBK" w:eastAsia="方正仿宋_GBK" w:cs="方正仿宋_GBK"/>
          <w:b w:val="0"/>
          <w:bCs w:val="0"/>
          <w:color w:val="000000"/>
          <w:kern w:val="2"/>
          <w:sz w:val="32"/>
          <w:szCs w:val="32"/>
          <w:lang w:val="en-US" w:eastAsia="zh-CN" w:bidi="ar-SA"/>
        </w:rPr>
        <w:t>（一）发包限价：</w:t>
      </w:r>
      <w:r>
        <w:rPr>
          <w:rFonts w:hint="eastAsia" w:ascii="方正仿宋_GBK" w:hAnsi="方正仿宋_GBK" w:eastAsia="方正仿宋_GBK" w:cs="方正仿宋_GBK"/>
          <w:b w:val="0"/>
          <w:bCs w:val="0"/>
          <w:i w:val="0"/>
          <w:iCs w:val="0"/>
          <w:caps w:val="0"/>
          <w:color w:val="auto"/>
          <w:spacing w:val="0"/>
          <w:sz w:val="28"/>
          <w:szCs w:val="28"/>
          <w:shd w:val="clear" w:color="auto" w:fill="auto"/>
          <w:lang w:val="en-US" w:eastAsia="zh-CN"/>
        </w:rPr>
        <w:t>49372.8元</w:t>
      </w:r>
      <w:r>
        <w:rPr>
          <w:rFonts w:hint="eastAsia" w:ascii="方正仿宋_GBK" w:hAnsi="方正仿宋_GBK" w:eastAsia="方正仿宋_GBK" w:cs="方正仿宋_GBK"/>
          <w:b w:val="0"/>
          <w:bCs w:val="0"/>
          <w:color w:val="000000"/>
          <w:sz w:val="32"/>
          <w:szCs w:val="32"/>
          <w:lang w:val="en-US" w:eastAsia="zh-CN"/>
        </w:rPr>
        <w:t>，该</w:t>
      </w:r>
      <w:r>
        <w:rPr>
          <w:rFonts w:hint="eastAsia" w:ascii="方正仿宋_GBK" w:hAnsi="方正仿宋_GBK" w:eastAsia="方正仿宋_GBK" w:cs="方正仿宋_GBK"/>
          <w:color w:val="000000"/>
          <w:kern w:val="0"/>
          <w:sz w:val="32"/>
          <w:szCs w:val="32"/>
          <w:shd w:val="clear" w:color="auto" w:fill="FFFFFF"/>
          <w:lang w:val="en-US" w:eastAsia="zh-CN" w:bidi="ar"/>
        </w:rPr>
        <w:t>限价</w:t>
      </w:r>
      <w:r>
        <w:rPr>
          <w:rFonts w:hint="eastAsia" w:ascii="方正仿宋_GBK" w:hAnsi="方正仿宋_GBK" w:eastAsia="方正仿宋_GBK" w:cs="方正仿宋_GBK"/>
          <w:b w:val="0"/>
          <w:bCs w:val="0"/>
          <w:color w:val="000000"/>
          <w:sz w:val="32"/>
          <w:szCs w:val="32"/>
          <w:lang w:val="en-US" w:eastAsia="zh-CN"/>
        </w:rPr>
        <w:t>实行</w:t>
      </w:r>
      <w:r>
        <w:rPr>
          <w:rFonts w:hint="default" w:ascii="Times New Roman" w:hAnsi="Times New Roman" w:eastAsia="方正仿宋_GBK" w:cs="Times New Roman"/>
          <w:b w:val="0"/>
          <w:bCs w:val="0"/>
          <w:color w:val="auto"/>
          <w:sz w:val="32"/>
          <w:szCs w:val="32"/>
          <w:lang w:val="en-US" w:eastAsia="zh-CN"/>
        </w:rPr>
        <w:t>总价包干</w:t>
      </w:r>
      <w:r>
        <w:rPr>
          <w:rFonts w:hint="eastAsia" w:ascii="方正仿宋_GBK" w:hAnsi="方正仿宋_GBK" w:eastAsia="方正仿宋_GBK" w:cs="方正仿宋_GBK"/>
          <w:b w:val="0"/>
          <w:bCs w:val="0"/>
          <w:color w:val="000000"/>
          <w:sz w:val="32"/>
          <w:szCs w:val="32"/>
          <w:lang w:val="en-US" w:eastAsia="zh-CN"/>
        </w:rPr>
        <w:t>，包含安全文明措施费、人工费、材料费、税费、保险费、运输搬运费、除渣费、场地清洁费等所有完成该工程改造所需的所有费用，工程改造期间发生的安全责任事故由供应商自行承担责任。</w:t>
      </w:r>
    </w:p>
    <w:p w14:paraId="37DFE7CD">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（二）</w:t>
      </w:r>
      <w:r>
        <w:rPr>
          <w:rFonts w:hint="default" w:ascii="Times New Roman" w:hAnsi="Times New Roman" w:eastAsia="方正仿宋_GBK" w:cs="Times New Roman"/>
          <w:b w:val="0"/>
          <w:bCs w:val="0"/>
          <w:color w:val="auto"/>
          <w:sz w:val="32"/>
          <w:szCs w:val="32"/>
          <w:lang w:val="en-US" w:eastAsia="zh-CN"/>
        </w:rPr>
        <w:t>付款节点：工程验收合格后支付至合同金额97%，</w:t>
      </w:r>
      <w:r>
        <w:rPr>
          <w:rFonts w:hint="eastAsia" w:ascii="Times New Roman" w:hAnsi="Times New Roman" w:eastAsia="方正仿宋_GBK" w:cs="Times New Roman"/>
          <w:b w:val="0"/>
          <w:bCs w:val="0"/>
          <w:color w:val="auto"/>
          <w:sz w:val="32"/>
          <w:szCs w:val="32"/>
          <w:lang w:val="en-US" w:eastAsia="zh-CN"/>
        </w:rPr>
        <w:t>剩余3%作为工程</w:t>
      </w:r>
      <w:r>
        <w:rPr>
          <w:rFonts w:ascii="Times New Roman" w:hAnsi="Times New Roman" w:eastAsia="方正仿宋_GBK" w:cs="Times New Roman"/>
          <w:color w:val="auto"/>
          <w:sz w:val="32"/>
          <w:szCs w:val="32"/>
        </w:rPr>
        <w:t>质量</w:t>
      </w:r>
      <w:r>
        <w:rPr>
          <w:rFonts w:hint="eastAsia" w:ascii="Times New Roman" w:hAnsi="Times New Roman" w:eastAsia="方正仿宋_GBK" w:cs="Times New Roman"/>
          <w:color w:val="auto"/>
          <w:sz w:val="32"/>
          <w:szCs w:val="32"/>
          <w:lang w:val="en-US" w:eastAsia="zh-CN"/>
        </w:rPr>
        <w:t>保证金，</w:t>
      </w:r>
      <w:r>
        <w:rPr>
          <w:rFonts w:hint="eastAsia" w:ascii="Times New Roman" w:hAnsi="Times New Roman" w:eastAsia="方正仿宋_GBK" w:cs="Times New Roman"/>
          <w:b w:val="0"/>
          <w:bCs w:val="0"/>
          <w:color w:val="auto"/>
          <w:sz w:val="32"/>
          <w:szCs w:val="32"/>
          <w:lang w:val="en-US" w:eastAsia="zh-CN"/>
        </w:rPr>
        <w:t>工程</w:t>
      </w:r>
      <w:r>
        <w:rPr>
          <w:rFonts w:ascii="Times New Roman" w:hAnsi="Times New Roman" w:eastAsia="方正仿宋_GBK" w:cs="Times New Roman"/>
          <w:color w:val="auto"/>
          <w:sz w:val="32"/>
          <w:szCs w:val="32"/>
        </w:rPr>
        <w:t>质量</w:t>
      </w:r>
      <w:r>
        <w:rPr>
          <w:rFonts w:hint="eastAsia" w:ascii="Times New Roman" w:hAnsi="Times New Roman" w:eastAsia="方正仿宋_GBK" w:cs="Times New Roman"/>
          <w:color w:val="auto"/>
          <w:sz w:val="32"/>
          <w:szCs w:val="32"/>
          <w:lang w:val="en-US" w:eastAsia="zh-CN"/>
        </w:rPr>
        <w:t>保证金的缺陷责任期2年，</w:t>
      </w:r>
      <w:r>
        <w:rPr>
          <w:rFonts w:ascii="Times New Roman" w:hAnsi="Times New Roman" w:eastAsia="方正仿宋_GBK" w:cs="Times New Roman"/>
          <w:color w:val="auto"/>
          <w:sz w:val="32"/>
          <w:szCs w:val="32"/>
        </w:rPr>
        <w:t>自工程竣工验收合格之日起计算。</w:t>
      </w:r>
      <w:r>
        <w:rPr>
          <w:rFonts w:hint="eastAsia" w:ascii="Times New Roman" w:hAnsi="Times New Roman" w:eastAsia="方正仿宋_GBK" w:cs="Times New Roman"/>
          <w:color w:val="auto"/>
          <w:sz w:val="32"/>
          <w:szCs w:val="32"/>
          <w:lang w:val="en-US" w:eastAsia="zh-CN"/>
        </w:rPr>
        <w:t>质量</w:t>
      </w:r>
      <w:r>
        <w:rPr>
          <w:rFonts w:ascii="Times New Roman" w:hAnsi="Times New Roman" w:eastAsia="方正仿宋_GBK" w:cs="Times New Roman"/>
          <w:color w:val="auto"/>
          <w:sz w:val="32"/>
          <w:szCs w:val="32"/>
        </w:rPr>
        <w:t>保修期</w:t>
      </w:r>
      <w:r>
        <w:rPr>
          <w:rFonts w:hint="eastAsia" w:ascii="Times New Roman" w:hAnsi="Times New Roman" w:eastAsia="方正仿宋_GBK" w:cs="Times New Roman"/>
          <w:color w:val="auto"/>
          <w:sz w:val="32"/>
          <w:szCs w:val="32"/>
          <w:lang w:val="en-US" w:eastAsia="zh-CN"/>
        </w:rPr>
        <w:t>届满无质量问题无息</w:t>
      </w:r>
      <w:r>
        <w:rPr>
          <w:rFonts w:hint="default" w:ascii="Times New Roman" w:hAnsi="Times New Roman" w:eastAsia="方正仿宋_GBK" w:cs="Times New Roman"/>
          <w:b w:val="0"/>
          <w:bCs w:val="0"/>
          <w:color w:val="auto"/>
          <w:sz w:val="32"/>
          <w:szCs w:val="32"/>
          <w:lang w:val="en-US" w:eastAsia="zh-CN"/>
        </w:rPr>
        <w:t>支付。</w:t>
      </w:r>
    </w:p>
    <w:p w14:paraId="51CE5BFD">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（三）履约保证金：</w:t>
      </w:r>
    </w:p>
    <w:p w14:paraId="6AA3A49E">
      <w:pPr>
        <w:ind w:firstLine="640" w:firstLineChars="200"/>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本项目履约保证金1000元，</w:t>
      </w:r>
      <w:r>
        <w:rPr>
          <w:rFonts w:hint="default" w:ascii="Times New Roman" w:hAnsi="Times New Roman" w:eastAsia="方正仿宋_GBK" w:cs="Times New Roman"/>
          <w:b w:val="0"/>
          <w:bCs w:val="0"/>
          <w:color w:val="auto"/>
          <w:sz w:val="32"/>
          <w:szCs w:val="32"/>
          <w:lang w:val="en-US" w:eastAsia="zh-CN"/>
        </w:rPr>
        <w:t>中标后3个工作日内</w:t>
      </w:r>
      <w:r>
        <w:rPr>
          <w:rFonts w:hint="eastAsia" w:ascii="Times New Roman" w:hAnsi="Times New Roman" w:eastAsia="方正仿宋_GBK" w:cs="Times New Roman"/>
          <w:b w:val="0"/>
          <w:bCs w:val="0"/>
          <w:color w:val="auto"/>
          <w:sz w:val="32"/>
          <w:szCs w:val="32"/>
          <w:lang w:val="en-US" w:eastAsia="zh-CN"/>
        </w:rPr>
        <w:t>缴纳</w:t>
      </w:r>
      <w:r>
        <w:rPr>
          <w:rFonts w:hint="default" w:ascii="Times New Roman" w:hAnsi="Times New Roman" w:eastAsia="方正仿宋_GBK" w:cs="Times New Roman"/>
          <w:b w:val="0"/>
          <w:bCs w:val="0"/>
          <w:color w:val="auto"/>
          <w:sz w:val="32"/>
          <w:szCs w:val="32"/>
          <w:lang w:val="en-US" w:eastAsia="zh-CN"/>
        </w:rPr>
        <w:t>履约保证金1000元</w:t>
      </w:r>
      <w:r>
        <w:rPr>
          <w:rFonts w:hint="eastAsia" w:ascii="方正仿宋_GBK" w:hAnsi="方正仿宋_GBK" w:eastAsia="方正仿宋_GBK" w:cs="方正仿宋_GBK"/>
          <w:kern w:val="2"/>
          <w:sz w:val="30"/>
          <w:szCs w:val="30"/>
          <w:highlight w:val="none"/>
          <w:lang w:val="en-US" w:eastAsia="zh-CN" w:bidi="ar-SA"/>
        </w:rPr>
        <w:t>（形式可为现金、支票、汇款、银行见索即付保函等）</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如发现供应商违约行为、与采购人的廉洁违纪行为、投标时围标串标行为等将予以没收，并纳入采购人供应商不良执业记录进行管理。验收合格无上述行为无息退还</w:t>
      </w:r>
      <w:r>
        <w:rPr>
          <w:rFonts w:hint="default" w:ascii="Times New Roman" w:hAnsi="Times New Roman" w:eastAsia="方正仿宋_GBK" w:cs="Times New Roman"/>
          <w:b w:val="0"/>
          <w:bCs w:val="0"/>
          <w:color w:val="auto"/>
          <w:sz w:val="32"/>
          <w:szCs w:val="32"/>
          <w:lang w:val="en-US" w:eastAsia="zh-CN"/>
        </w:rPr>
        <w:t>。</w:t>
      </w:r>
    </w:p>
    <w:p w14:paraId="5B1B7470">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（四）违约责任</w:t>
      </w:r>
    </w:p>
    <w:p w14:paraId="03CCB5C3">
      <w:pPr>
        <w:ind w:firstLine="640" w:firstLineChars="200"/>
        <w:rPr>
          <w:rFonts w:hint="default"/>
          <w:lang w:val="en-US" w:eastAsia="zh-CN"/>
        </w:rPr>
      </w:pPr>
      <w:r>
        <w:rPr>
          <w:rFonts w:hint="eastAsia" w:ascii="方正仿宋_GBK" w:hAnsi="方正仿宋_GBK" w:eastAsia="方正仿宋_GBK" w:cs="方正仿宋_GBK"/>
          <w:sz w:val="32"/>
          <w:szCs w:val="32"/>
          <w:lang w:val="en-US" w:eastAsia="zh-CN"/>
        </w:rPr>
        <w:t>未按期完成改造施工的，供应商延期交付的每日支付500元违约金；施工期间工作人员不服从医院的管理，对造成纠纷或投诉每件支付1000元违约金，如对患者及采购人造成损害另行赔偿；施工期间发现供应商使用假冒伪劣产品，按照该产品正规渠道市场价格的3倍支付违约金，如已施工撤除后重新施工；因工程改造质量验收不合格或隐蔽工程安全隐患由采购人发现之日起供应商10日内无条件整改，对采购人造成的损失承担全部责任；其他情况由合同进行约定。</w:t>
      </w:r>
    </w:p>
    <w:p w14:paraId="321A5A61">
      <w:pPr>
        <w:pStyle w:val="3"/>
        <w:ind w:firstLine="643" w:firstLineChars="200"/>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三、施工部署</w:t>
      </w:r>
    </w:p>
    <w:p w14:paraId="599D10D3">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（一）施工工期计划</w:t>
      </w:r>
    </w:p>
    <w:p w14:paraId="6D87DFAA">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1.材料进场时间：接到中标通知书后 3 个日历天内，完成拆除工具、新风管材料（含 1.2mm/1.0mm 镀锌铁皮、 ∠40 角钢）、风口风阀及防护材料的进场验收，留存材料质量证明文件报甲方备案；</w:t>
      </w:r>
    </w:p>
    <w:p w14:paraId="69FBBE3F">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2.施工完成时间：材料进场后 10 个日历天内，依次完成风管拆除、支架安装、风管更换 / 修补、风口及风阀恢复、系统调试及垃圾出渣；</w:t>
      </w:r>
    </w:p>
    <w:p w14:paraId="3B483E4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3.验收时间：施工完成后 2 个日历天内，提交验收申请及完整技术资料，配合甲方完成分部分项验收及系统联动测试。</w:t>
      </w:r>
    </w:p>
    <w:p w14:paraId="43F2A412">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二）人员与设备配置</w:t>
      </w:r>
    </w:p>
    <w:p w14:paraId="0B1785A4">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1.人员配置：项目经理 1 名、技术负责人 1 名、安全员 1名、施工班组 5 人（含高空作业 2 人、焊工 1 人、调试技术员 2 人）；</w:t>
      </w:r>
    </w:p>
    <w:p w14:paraId="1D0C3778">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2.人员职责明细：</w:t>
      </w:r>
    </w:p>
    <w:p w14:paraId="3DFFDF4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项目经理：统筹工期、协调医院后勤，每日提交《施工进度日报》；</w:t>
      </w:r>
    </w:p>
    <w:p w14:paraId="11DE04B2">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技术负责人：审核加工图纸、监督焊接工艺，留存每道工序检测记录；</w:t>
      </w:r>
    </w:p>
    <w:p w14:paraId="7AA5984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安全员：每日班前安全交底，检查动火作业防护，填写《安全巡查记录》；</w:t>
      </w:r>
    </w:p>
    <w:p w14:paraId="714CF341">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调试技术员：需持《通风空调系统调试资格证》，熟悉 GB 51251-2017 标准。</w:t>
      </w:r>
    </w:p>
    <w:p w14:paraId="524D0228">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3.设备配置：</w:t>
      </w:r>
    </w:p>
    <w:p w14:paraId="2DB7A1A3">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拆除设备：手提切割机 2 台、等离子切割机 1 台、电锤 2台；</w:t>
      </w:r>
    </w:p>
    <w:p w14:paraId="1C12CC1D">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安装设备：咬口机 2 台、折边机 1 台、台钻 2 台、电弧焊机 1 台（ZX7-400 型）、手拉葫芦（3t）1 台；</w:t>
      </w:r>
    </w:p>
    <w:p w14:paraId="0836AE0E">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调试设备：风速仪（TES-1340 型）2 台、风压计（DP-6000型）1 台、万用表（FLUKE 15B+）2 块；</w:t>
      </w:r>
    </w:p>
    <w:p w14:paraId="78A2853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环保设备：雾炮机 2台、密闭垃圾车（8m³) 1 辆、工业吸尘器 4 台。</w:t>
      </w:r>
    </w:p>
    <w:p w14:paraId="178F4578">
      <w:pPr>
        <w:pStyle w:val="3"/>
        <w:ind w:firstLine="643" w:firstLineChars="200"/>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四、施工准备</w:t>
      </w:r>
    </w:p>
    <w:p w14:paraId="05D1367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（一）技术准备</w:t>
      </w:r>
    </w:p>
    <w:p w14:paraId="13C1F48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1.复核原风管系统图纸及现场尺寸，绘制《风管拆除与更换定位图》，标注拆除区域（241 ㎡）、更换区域（241 ㎡）及修补段位置，明确 1m 以上 / 以下风管分布；</w:t>
      </w:r>
    </w:p>
    <w:p w14:paraId="68B6DDA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2.编制专项技术交底文件，重点说明：∠40 角钢支架焊接工艺（焊缝高度≥5mm）、不同厚度风管咬口参数（1.2mm 风管采用联合角咬 口，1.0mm 风管采用单咬 口）、防排烟系统调试步骤；</w:t>
      </w:r>
    </w:p>
    <w:p w14:paraId="6F3ACE0D">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3.与医院后勤及消防控制室对接，确认系统断电、断风时间及调试联动方案，签订《施工安全配合协议》。</w:t>
      </w:r>
    </w:p>
    <w:p w14:paraId="195AB434">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二）现场准备</w:t>
      </w:r>
    </w:p>
    <w:p w14:paraId="3A6EEC87">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1.区域管控：采用 1.2m 高防火彩钢板围挡划分施工区，设置 2 个物料转运通道（宽 1.5m），通道口安装声光报警装置，在车库入口及施工区悬挂 “夜间施工 注意安全” 标识；</w:t>
      </w:r>
    </w:p>
    <w:p w14:paraId="3BB5A18D">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2.设备保护：</w:t>
      </w:r>
    </w:p>
    <w:p w14:paraId="6A84851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消防喷淋头：采用 Φ100mm 塑料保护罩（高度 150mm），用扎带固定，保护罩与喷头间距≥50mm；</w:t>
      </w:r>
    </w:p>
    <w:p w14:paraId="16E82B0D">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监控摄像头：用定制铝制保护盒（尺寸 200 × 150 × 100mm）覆盖，盒内粘贴缓冲棉，避免碰撞。</w:t>
      </w:r>
    </w:p>
    <w:p w14:paraId="3F0C67F4">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3.临时设施标准：</w:t>
      </w:r>
    </w:p>
    <w:p w14:paraId="0FF41772">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材料堆放区：设置 30cm 高砖砌挡墙，防潮膜搭接宽度≥ 200mm，新风管堆放高度 ≤ 1.5m，底层垫 100 × 100mm 木方（间距 1.5m）；</w:t>
      </w:r>
    </w:p>
    <w:p w14:paraId="3E828754">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工具房：配备 2 具 4kg 干粉灭火器，电线穿 PVC 管明敷，开关、插座采用防爆型。</w:t>
      </w:r>
    </w:p>
    <w:p w14:paraId="7DDCE0B1">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三）材料验收</w:t>
      </w:r>
    </w:p>
    <w:p w14:paraId="0607B8A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1.新风管材料：1 米以上长度风管采用 1.2mm 镀锌铁皮（偏差 ≤ ± 0.05mm）、1 米以上长度风管采用 1.0mm 镀锌铁皮（偏差 ≤ ± 0.03mm）需提供材质单，抽样进行厚度检测（每批次抽检 3 处）；∠40 角钢（Q235 材质）需检查截面尺寸（40 ×40 × 3mm）及镀锌层厚度 ( ≥85 μm）；</w:t>
      </w:r>
    </w:p>
    <w:p w14:paraId="47F7C1F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风口风阀：防火阀需具备 3C 认证证书，排烟口执行机构动作灵活，抽样测试关闭密封性（漏风量≤500m³/(h・㎡)）；</w:t>
      </w:r>
    </w:p>
    <w:p w14:paraId="5DF5EB01">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辅材：密封胶（耐温 - 30℃-200℃ ) 、保温棉（离心玻璃棉，厚度 50mm）需符合环保及防火要求（燃烧性能 A 级）。</w:t>
      </w:r>
    </w:p>
    <w:p w14:paraId="7DBB6413">
      <w:pPr>
        <w:pStyle w:val="3"/>
        <w:ind w:firstLine="643" w:firstLineChars="200"/>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五、主要施工流程与工艺</w:t>
      </w:r>
    </w:p>
    <w:p w14:paraId="27920C1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（一）风管拆除阶段（第 1-4 天）</w:t>
      </w:r>
    </w:p>
    <w:p w14:paraId="0D26ED3D">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1.系统断能：断开风机、风阀电源，关闭新风入口风阀，在配电箱悬挂 “禁止合闸” 警示牌，用验电器确认断电；</w:t>
      </w:r>
    </w:p>
    <w:p w14:paraId="6AC4779E">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2.附件拆除：先拆除风 口（用螺丝刀卸除固定螺丝，轻抬取下）、风阀（拆除连接螺栓，保护执行机构线缆），分类编号存放（如 “B 区 - 防火阀 - 01”）；</w:t>
      </w:r>
    </w:p>
    <w:p w14:paraId="17354AE0">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3.风管拆解：</w:t>
      </w:r>
    </w:p>
    <w:p w14:paraId="2B0C55CA">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1.切割前：在切割点下方铺设防火毯（2 ×2m），周围 5m 内放置灭火器，作业人员佩戴防护眼镜、防尘口罩；</w:t>
      </w:r>
    </w:p>
    <w:p w14:paraId="033F6BC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2.厚风管切割：等离子切割机喷嘴距铁皮 10-15mm，切割线偏差≤2mm，避免损伤周边电缆桥架（间距≥ 100mm 时用石棉布隔离）。</w:t>
      </w:r>
    </w:p>
    <w:p w14:paraId="45D51118">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3.1m 以下风管：用手提切割机沿法兰接口切割，单节拆分后人工搬运至地面（每节重量≤40kg）；</w:t>
      </w:r>
    </w:p>
    <w:p w14:paraId="5BA52CE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4.1m 以上风管：采用等离子切割机分段切割（每段长度≤ 2.5m），用手拉葫芦双吊点吊装（吊点间距 1.2m），缓慢降至地面；</w:t>
      </w:r>
    </w:p>
    <w:p w14:paraId="0EBDECC1">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5.垃圾清运：拆除废料按 “金属 / 保温棉 / 其他” 分类装袋，每日施工结束后用密闭垃圾车清运，运输路线避开医院主要通道。</w:t>
      </w:r>
    </w:p>
    <w:p w14:paraId="1705A4CE">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二）支架安装阶段（第 3-6 天，与拆除交叉作业）</w:t>
      </w:r>
    </w:p>
    <w:p w14:paraId="5FE4F44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1.支架定位：按图纸标注位置弹线，确定支架间距（水平风管≤ 3m，垂直风管≤2.4m），用电锤钻孔（孔径比膨胀螺栓大 2mm）；</w:t>
      </w:r>
    </w:p>
    <w:p w14:paraId="444E640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2.角钢加工： ∠40 角钢按设计尺寸切割，焊接 U 型抱箍（焊缝长度 ≥ 60mm，做防腐处理） ，支架安装后水平偏差 ≤ 3mm/m，垂直偏差 ≤2mm；</w:t>
      </w:r>
    </w:p>
    <w:p w14:paraId="07F43247">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3.验收固定：每安装 10m 支架进行一次承重测试（悬挂50kg 沙袋，持续 30 分钟无变形），验收合格后填写《支架安装验收记录》。</w:t>
      </w:r>
    </w:p>
    <w:p w14:paraId="6C381D5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三）风管更换与修补阶段（第 7-12 天）</w:t>
      </w:r>
    </w:p>
    <w:p w14:paraId="654999CA">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风管加工：</w:t>
      </w:r>
    </w:p>
    <w:p w14:paraId="741A048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1.1m 以上风管（1.2mm 厚）：用咬口机加工联合角咬 口，折边高度 15mm，风管拼接采用法兰连接（螺栓间距≤ 150mm）；</w:t>
      </w:r>
    </w:p>
    <w:p w14:paraId="7EB45FE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2.1m 以下风管（1.0mm 厚）：采用单咬口连接，折边高度12mm，弯头、三通等配件按标准图集加工；</w:t>
      </w:r>
    </w:p>
    <w:p w14:paraId="77A2F10F">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3.风管安装：采用 “先主管后支管” 顺序，风管起吊时用软吊带保护，避免划伤镀锌层，与支架接触处垫 3mm 厚橡胶垫，风管水平度偏差≤2mm/m；</w:t>
      </w:r>
    </w:p>
    <w:p w14:paraId="3746DC4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4.破损修补：对破损风管，切除破损段（切割面平整），新风管与原风管采用法兰连接，接缝处打密封胶（宽度 5-8mm），外部用玻璃丝布缠绕 2 层。</w:t>
      </w:r>
    </w:p>
    <w:p w14:paraId="462BDFD3">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四）风口风阀恢复与系统调试阶段（第 13-14 天）</w:t>
      </w:r>
    </w:p>
    <w:p w14:paraId="3BAB3D1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1.附件安装：按编号恢复风 口（与风管接口密封，缝隙≤ 1mm）、风阀（执行机构接线正确，动作角度偏差≤5° ) , 防火阀需与消防系统联动接线；</w:t>
      </w:r>
    </w:p>
    <w:p w14:paraId="684E8A29">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2.防排烟调试：</w:t>
      </w:r>
    </w:p>
    <w:p w14:paraId="18774D62">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单机 调试 ： 启 动 排烟风机 ， 测试风速（ 排烟 口风速10-15m/s）、风压（系统静压 ≥ 300Pa），记录运行参数；</w:t>
      </w:r>
    </w:p>
    <w:p w14:paraId="5626230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联动调试：通过消防控制室触发火灾信号，测试风阀自动关闭、风机高速启动功能，联动响应时间≤ 30s；</w:t>
      </w:r>
    </w:p>
    <w:p w14:paraId="14AB13F8">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密封性检测：对新安装风管进行漏光检测（漏光点≤2 处 / 10m），漏风量检测（低压风管 ≤ 12.5m³/ (h・㎡)）。</w:t>
      </w:r>
    </w:p>
    <w:p w14:paraId="5B255CB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（五）现场清理与出渣阶段（第 15 天）</w:t>
      </w:r>
    </w:p>
    <w:p w14:paraId="479B8859">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1.拆除施工围挡及临时设施，清理残留废料、工具，用工业吸尘器清洁风管内部及地面；</w:t>
      </w:r>
    </w:p>
    <w:p w14:paraId="75B5F953">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2.对施工区域墙面、地面破损处进行修补（采用同色涂料、水泥砂浆），恢复车库原有标识；</w:t>
      </w:r>
    </w:p>
    <w:p w14:paraId="010DE414">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3.完成最后一批垃圾出渣，核对出渣总量（与预计 28m³  偏差 ≤ 5%），填写《垃圾清运记录》。</w:t>
      </w:r>
    </w:p>
    <w:p w14:paraId="613CE7A9">
      <w:pPr>
        <w:pStyle w:val="3"/>
        <w:ind w:firstLine="643" w:firstLineChars="200"/>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六、质量与安全保障措施</w:t>
      </w:r>
    </w:p>
    <w:p w14:paraId="45294287">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（一）质量控制</w:t>
      </w:r>
    </w:p>
    <w:p w14:paraId="0B0CE5CF">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1.材料进场实行 “ 三检制”（ 自检、互检、专检），不合格材料严禁入场；</w:t>
      </w:r>
    </w:p>
    <w:p w14:paraId="2F9177F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自检：《材料自检记录表》（含名称、规格、数量、检测结果、 自检人）；</w:t>
      </w:r>
    </w:p>
    <w:p w14:paraId="3D206E8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互检：《材料互检记录表》（ 由 2 名技术员交叉检测，填写异议处理结果）；</w:t>
      </w:r>
    </w:p>
    <w:p w14:paraId="72E0683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专检：《材料专检记录表》（ 由甲方代表或监理签字确认，留存检测报告）。</w:t>
      </w:r>
    </w:p>
    <w:p w14:paraId="3CD869B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2.风管安装关键工序（如支架焊接、法兰连接）设置质量控制点，留存影像记录（每道工序 3-5 张照片）；</w:t>
      </w:r>
    </w:p>
    <w:p w14:paraId="2EF1227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3.防排烟系统调试需出具第三方检测报告，确保符合消防验收标准。</w:t>
      </w:r>
    </w:p>
    <w:p w14:paraId="42DB073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二）安全防护</w:t>
      </w:r>
    </w:p>
    <w:p w14:paraId="39CE0D92">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1.脚手架搭设：立杆间距 1.5m，横杆步距 1.8m，扫地杆距地面 200mm，脚手板采用 50 ×200mm 松木，两端用铁丝固定，搭设后由安全员、技术员联合验收，填写《脚手架验收记录表》；</w:t>
      </w:r>
    </w:p>
    <w:p w14:paraId="4DC8199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2.安全带使用：双钩安全带需符合 GB 6095-2021 标准，使用前检查安全带是否有破损，挂钩需挂在牢固点（如脚手架立杆），严禁低挂高用。</w:t>
      </w:r>
    </w:p>
    <w:p w14:paraId="49BD0E2A">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3.动火作业：《夜间动火许可证》需注明：动火时间（22:00 - 次 日 5:30）、动火部位、动火人、看火人、防护措施；</w:t>
      </w:r>
    </w:p>
    <w:p w14:paraId="1283DC4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动火后：看火人需停留 30 分钟，确认无复燃风险后，在《动火作业记录》上签字。</w:t>
      </w:r>
    </w:p>
    <w:p w14:paraId="1C04FDF3">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 用电安全：</w:t>
      </w:r>
    </w:p>
    <w:p w14:paraId="0B50206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配电箱配置：总配电箱 →分配电箱 →开关箱，实行 “一机一闸一漏一保” ，开关箱漏电保护器动作电流≤ 15mA（高空作业设备）；</w:t>
      </w:r>
    </w:p>
    <w:p w14:paraId="5DD7E75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电缆敷设：沿墙面用卡箍固定（间距 1.5m），穿越通道时穿镀锌钢管（管径≥ 电缆外径 1.5 倍），管两端密封。</w:t>
      </w:r>
    </w:p>
    <w:p w14:paraId="0942D636">
      <w:pPr>
        <w:pStyle w:val="3"/>
        <w:ind w:firstLine="643" w:firstLineChars="200"/>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七、验收流程</w:t>
      </w:r>
    </w:p>
    <w:p w14:paraId="248256BF">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（一）分部分项验收</w:t>
      </w:r>
    </w:p>
    <w:p w14:paraId="4A360C1F">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1.拆除验收： 甲方核对拆除范围（241 ㎡）、废料清运情况，确认无残留风管及附件；</w:t>
      </w:r>
    </w:p>
    <w:p w14:paraId="24760287">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2.安装验收：检查支架安装（31m∠40 角钢）、风管更换（241 ㎡）及修补质量，核对风管厚度、密封性检测报告；</w:t>
      </w:r>
    </w:p>
    <w:p w14:paraId="14601AD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3.调试验收： 甲方组织消防控制室、监理单位参与防排烟系统联动测试，确认风机运行、风阀动作、风速风压符合要求。</w:t>
      </w:r>
    </w:p>
    <w:p w14:paraId="4870E43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二）竣工验收</w:t>
      </w:r>
    </w:p>
    <w:p w14:paraId="0A24168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1.施工单位提交完整验收资料（含材料合格证、检测报告、调试记录、影像资料等）；</w:t>
      </w:r>
    </w:p>
    <w:p w14:paraId="78710B97">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2.甲方组织现场验收，重点核查：风管安装精度、系统功能完整性、现场恢复情况，验收合格后签署《竣工验收报告》；</w:t>
      </w:r>
    </w:p>
    <w:p w14:paraId="062294B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3.若存在问题（如风速不达标、密封不良），施工单位需在 24 小时内制定整改方案，整改完成后复验。</w:t>
      </w:r>
    </w:p>
    <w:p w14:paraId="4217BCD9">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3.设备故障：若风机调试时出现异响，立即停机检查，更换损坏部件（备用电机 1 台），调试前需重新进行单机测试。</w:t>
      </w:r>
    </w:p>
    <w:p w14:paraId="3FCE7307">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三）质保约定</w:t>
      </w:r>
    </w:p>
    <w:p w14:paraId="0906A4D5">
      <w:pPr>
        <w:pStyle w:val="3"/>
        <w:ind w:firstLine="640" w:firstLineChars="200"/>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本工程整体质保期为3 年，自竣工验收合格并签署《竣工验收报告》之日起计算；质保期内，因施工质量问题导致的风管破损、支架变形、系统运行故障等，施工单位需在接到甲方通知后 24 小时内到场维修，维修费用由施工单位承担。</w:t>
      </w:r>
      <w:r>
        <w:rPr>
          <w:rFonts w:hint="eastAsia" w:ascii="Times New Roman" w:hAnsi="Times New Roman" w:eastAsia="方正仿宋_GBK" w:cs="Times New Roman"/>
          <w:b w:val="0"/>
          <w:bCs w:val="0"/>
          <w:color w:val="auto"/>
          <w:sz w:val="32"/>
          <w:szCs w:val="32"/>
          <w:lang w:val="en-US" w:eastAsia="zh-CN"/>
        </w:rPr>
        <w:br w:type="textWrapping"/>
      </w:r>
      <w:r>
        <w:rPr>
          <w:rFonts w:hint="eastAsia" w:ascii="Times New Roman" w:hAnsi="Times New Roman" w:eastAsia="方正仿宋_GBK" w:cs="Times New Roman"/>
          <w:b/>
          <w:bCs/>
          <w:color w:val="auto"/>
          <w:sz w:val="32"/>
          <w:szCs w:val="32"/>
          <w:lang w:val="en-US" w:eastAsia="zh-CN"/>
        </w:rPr>
        <w:t xml:space="preserve">    八</w:t>
      </w:r>
      <w:r>
        <w:rPr>
          <w:rFonts w:hint="default" w:ascii="Times New Roman" w:hAnsi="Times New Roman" w:eastAsia="方正仿宋_GBK" w:cs="Times New Roman"/>
          <w:b/>
          <w:bCs/>
          <w:color w:val="auto"/>
          <w:sz w:val="32"/>
          <w:szCs w:val="32"/>
          <w:lang w:val="en-US" w:eastAsia="zh-CN"/>
        </w:rPr>
        <w:t>、其他要求</w:t>
      </w:r>
    </w:p>
    <w:p w14:paraId="5202128F">
      <w:pPr>
        <w:pStyle w:val="3"/>
        <w:ind w:firstLine="640" w:firstLineChars="200"/>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w:t>
      </w:r>
      <w:r>
        <w:rPr>
          <w:rFonts w:hint="eastAsia" w:ascii="Times New Roman" w:hAnsi="Times New Roman" w:eastAsia="方正仿宋_GBK" w:cs="Times New Roman"/>
          <w:b w:val="0"/>
          <w:bCs w:val="0"/>
          <w:color w:val="auto"/>
          <w:sz w:val="32"/>
          <w:szCs w:val="32"/>
          <w:lang w:val="en-US" w:eastAsia="zh-CN"/>
        </w:rPr>
        <w:t>中选标准为满足采购人要求的最低评标价法。</w:t>
      </w:r>
    </w:p>
    <w:p w14:paraId="49154D01">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（二）投标人务必到新院区行政楼负一楼踏勘现场，将踏勘记录表装订至投标文件内一并投标。</w:t>
      </w:r>
    </w:p>
    <w:p w14:paraId="4784DD47">
      <w:pPr>
        <w:shd w:val="clear" w:fill="FFFFFF" w:themeFill="background1"/>
        <w:ind w:firstLine="640" w:firstLineChars="200"/>
        <w:rPr>
          <w:rFonts w:hint="eastAsia" w:ascii="Times New Roman" w:hAnsi="Times New Roman" w:eastAsia="方正仿宋_GBK" w:cs="Times New Roman"/>
          <w:snapToGrid w:val="0"/>
          <w:color w:val="auto"/>
          <w:kern w:val="21"/>
          <w:sz w:val="32"/>
          <w:szCs w:val="20"/>
          <w:lang w:val="en-US" w:eastAsia="zh-CN" w:bidi="ar-SA"/>
        </w:rPr>
      </w:pPr>
    </w:p>
    <w:p w14:paraId="245C1340">
      <w:pPr>
        <w:pStyle w:val="11"/>
        <w:rPr>
          <w:rFonts w:hint="eastAsia" w:ascii="方正仿宋_GBK" w:hAnsi="方正仿宋_GBK" w:eastAsia="方正仿宋_GBK" w:cs="方正仿宋_GBK"/>
          <w:color w:val="000000"/>
          <w:kern w:val="2"/>
          <w:sz w:val="32"/>
          <w:szCs w:val="32"/>
          <w:lang w:val="en-US" w:eastAsia="zh-CN" w:bidi="ar-SA"/>
        </w:rPr>
      </w:pPr>
    </w:p>
    <w:p w14:paraId="6B1487B8">
      <w:pPr>
        <w:autoSpaceDE w:val="0"/>
        <w:autoSpaceDN w:val="0"/>
        <w:adjustRightInd w:val="0"/>
        <w:snapToGrid w:val="0"/>
        <w:spacing w:line="360" w:lineRule="auto"/>
        <w:ind w:left="0" w:leftChars="0" w:right="480" w:firstLine="0" w:firstLineChars="0"/>
        <w:jc w:val="left"/>
        <w:rPr>
          <w:rFonts w:hint="eastAsia" w:ascii="仿宋_GB2312" w:hAnsi="宋体" w:eastAsia="仿宋_GB2312" w:cs="宋体"/>
          <w:color w:val="auto"/>
          <w:sz w:val="32"/>
          <w:szCs w:val="32"/>
          <w:lang w:val="zh-CN"/>
        </w:rPr>
      </w:pPr>
      <w:r>
        <w:rPr>
          <w:rFonts w:hint="eastAsia" w:ascii="仿宋_GB2312" w:hAnsi="宋体" w:eastAsia="仿宋_GB2312" w:cs="宋体"/>
          <w:color w:val="auto"/>
          <w:sz w:val="32"/>
          <w:szCs w:val="32"/>
          <w:lang w:val="zh-CN"/>
        </w:rPr>
        <w:br w:type="page"/>
      </w:r>
    </w:p>
    <w:p w14:paraId="6A7BADF2">
      <w:pPr>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附件1：</w:t>
      </w:r>
    </w:p>
    <w:tbl>
      <w:tblPr>
        <w:tblStyle w:val="7"/>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6"/>
        <w:gridCol w:w="1943"/>
        <w:gridCol w:w="2112"/>
        <w:gridCol w:w="1080"/>
        <w:gridCol w:w="1080"/>
        <w:gridCol w:w="1437"/>
        <w:gridCol w:w="1437"/>
      </w:tblGrid>
      <w:tr w14:paraId="6199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95EB">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B81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设备名称</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DDE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A69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C9A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单位</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496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单价（元）</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05B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总价（元）</w:t>
            </w:r>
          </w:p>
        </w:tc>
      </w:tr>
      <w:tr w14:paraId="1DB4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9A6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7EB9">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更换风管（无保温）</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C7B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风管厚度1.2mm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DA7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977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平方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17A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138.00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557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33258.00 </w:t>
            </w:r>
          </w:p>
        </w:tc>
      </w:tr>
      <w:tr w14:paraId="545A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A65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A35B">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拆除风管</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6169">
            <w:pPr>
              <w:jc w:val="center"/>
              <w:rPr>
                <w:rFonts w:hint="eastAsia" w:ascii="方正黑体_GBK" w:hAnsi="方正黑体_GBK" w:eastAsia="方正黑体_GBK" w:cs="方正黑体_GBK"/>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ED7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43B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平方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2A5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22.00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E80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5302.00 </w:t>
            </w:r>
          </w:p>
        </w:tc>
      </w:tr>
      <w:tr w14:paraId="669A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25B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CCDD">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风口、风阀拆除及恢复</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A699">
            <w:pPr>
              <w:jc w:val="center"/>
              <w:rPr>
                <w:rFonts w:hint="eastAsia" w:ascii="方正黑体_GBK" w:hAnsi="方正黑体_GBK" w:eastAsia="方正黑体_GBK" w:cs="方正黑体_GBK"/>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186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284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个</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991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180.00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497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2340.00 </w:t>
            </w:r>
          </w:p>
        </w:tc>
      </w:tr>
      <w:tr w14:paraId="3A46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536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4</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46FF">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风管支架</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DE23">
            <w:pPr>
              <w:jc w:val="center"/>
              <w:rPr>
                <w:rFonts w:hint="eastAsia" w:ascii="方正黑体_GBK" w:hAnsi="方正黑体_GBK" w:eastAsia="方正黑体_GBK" w:cs="方正黑体_GBK"/>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D85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46D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米</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C73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28.80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17B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892.80 </w:t>
            </w:r>
          </w:p>
        </w:tc>
      </w:tr>
      <w:tr w14:paraId="062E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CB1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5</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24AD">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风管修补</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1D4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角钢∠40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2D1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A9E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2A9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3500.00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732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3500.00 </w:t>
            </w:r>
          </w:p>
        </w:tc>
      </w:tr>
      <w:tr w14:paraId="3699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676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6</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974E">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脚手架及辅材</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3D7A">
            <w:pPr>
              <w:jc w:val="center"/>
              <w:rPr>
                <w:rFonts w:hint="eastAsia" w:ascii="方正黑体_GBK" w:hAnsi="方正黑体_GBK" w:eastAsia="方正黑体_GBK" w:cs="方正黑体_GBK"/>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261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74A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2EF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800.00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330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800.00 </w:t>
            </w:r>
          </w:p>
        </w:tc>
      </w:tr>
      <w:tr w14:paraId="5CC8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117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7</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3999">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出渣</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C9C1">
            <w:pPr>
              <w:jc w:val="center"/>
              <w:rPr>
                <w:rFonts w:hint="eastAsia" w:ascii="方正黑体_GBK" w:hAnsi="方正黑体_GBK" w:eastAsia="方正黑体_GBK" w:cs="方正黑体_GBK"/>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EA8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E8F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172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1280.00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B38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1280.00 </w:t>
            </w:r>
          </w:p>
        </w:tc>
      </w:tr>
      <w:tr w14:paraId="752A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537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7</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4A93">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配合调试系统</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A9C8">
            <w:pPr>
              <w:jc w:val="center"/>
              <w:rPr>
                <w:rFonts w:hint="eastAsia" w:ascii="方正黑体_GBK" w:hAnsi="方正黑体_GBK" w:eastAsia="方正黑体_GBK" w:cs="方正黑体_GBK"/>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0B8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747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D70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2000.00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DFC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2000.00 </w:t>
            </w:r>
          </w:p>
        </w:tc>
      </w:tr>
      <w:tr w14:paraId="7E4F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77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8F9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4AA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49372.8</w:t>
            </w:r>
          </w:p>
        </w:tc>
      </w:tr>
    </w:tbl>
    <w:p w14:paraId="135095AF">
      <w:pPr>
        <w:rPr>
          <w:rFonts w:hint="default"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注：上述费用</w:t>
      </w:r>
      <w:r>
        <w:rPr>
          <w:rFonts w:hint="eastAsia" w:ascii="方正仿宋_GBK" w:hAnsi="方正仿宋_GBK" w:eastAsia="方正仿宋_GBK" w:cs="方正仿宋_GBK"/>
          <w:b w:val="0"/>
          <w:bCs w:val="0"/>
          <w:color w:val="000000"/>
          <w:sz w:val="32"/>
          <w:szCs w:val="32"/>
          <w:lang w:val="en-US" w:eastAsia="zh-CN"/>
        </w:rPr>
        <w:t>包含安全文明措施费、人工费、材料费、税费、保险费、运输搬运费、除渣费、场地清洁费等所有完成该工程改造所需的所有费用，工程改造期间发生的安全责任事故由供应商自行承担责任。施工过程如有减少工程量，按照实际施工数量据实结算。</w:t>
      </w:r>
    </w:p>
    <w:p w14:paraId="397283DF">
      <w:pPr>
        <w:rPr>
          <w:rFonts w:hint="eastAsia"/>
          <w:lang w:val="zh-CN"/>
        </w:rPr>
      </w:pPr>
    </w:p>
    <w:p w14:paraId="70324DDB">
      <w:pPr>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br w:type="page"/>
      </w:r>
    </w:p>
    <w:p w14:paraId="4B5BC9B0">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65401DC">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重庆医科大学附属璧山医院：</w:t>
      </w:r>
    </w:p>
    <w:p w14:paraId="17636720">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），经详细研究，愿意参加投标。并授权下述签字人</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，全权代表我投标单位提交下述文件</w:t>
      </w:r>
      <w:r>
        <w:rPr>
          <w:rFonts w:hint="eastAsia" w:ascii="仿宋_GB2312" w:hAnsi="宋体" w:eastAsia="仿宋_GB2312" w:cs="宋体"/>
          <w:b/>
          <w:bCs/>
          <w:color w:val="auto"/>
          <w:sz w:val="32"/>
          <w:szCs w:val="32"/>
          <w:u w:val="single"/>
          <w:lang w:val="zh-CN"/>
        </w:rPr>
        <w:t>正本一份，副本三份。</w:t>
      </w:r>
      <w:r>
        <w:rPr>
          <w:rFonts w:hint="eastAsia" w:ascii="仿宋_GB2312" w:hAnsi="宋体" w:eastAsia="仿宋_GB2312" w:cs="宋体"/>
          <w:b/>
          <w:bCs/>
          <w:color w:val="auto"/>
          <w:sz w:val="32"/>
          <w:szCs w:val="32"/>
          <w:lang w:val="zh-CN"/>
        </w:rPr>
        <w:t>文件包括：</w:t>
      </w:r>
    </w:p>
    <w:p w14:paraId="2F27B1FD">
      <w:pPr>
        <w:autoSpaceDE w:val="0"/>
        <w:autoSpaceDN w:val="0"/>
        <w:adjustRightInd w:val="0"/>
        <w:snapToGrid w:val="0"/>
        <w:spacing w:line="360" w:lineRule="auto"/>
        <w:ind w:firstLine="480"/>
        <w:rPr>
          <w:rFonts w:ascii="仿宋_GB2312" w:hAnsi="宋体" w:eastAsia="仿宋_GB2312" w:cs="宋体"/>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营业执照（经营范围）及特定资格要求</w:t>
      </w:r>
      <w:r>
        <w:rPr>
          <w:rFonts w:hint="eastAsia" w:ascii="仿宋_GB2312" w:hAnsi="宋体" w:eastAsia="仿宋_GB2312" w:cs="宋体"/>
          <w:color w:val="auto"/>
          <w:sz w:val="32"/>
          <w:szCs w:val="32"/>
          <w:lang w:val="zh-CN"/>
        </w:rPr>
        <w:t>。</w:t>
      </w:r>
    </w:p>
    <w:p w14:paraId="4AD8A69B">
      <w:pPr>
        <w:autoSpaceDE w:val="0"/>
        <w:autoSpaceDN w:val="0"/>
        <w:adjustRightInd w:val="0"/>
        <w:snapToGrid w:val="0"/>
        <w:spacing w:line="360" w:lineRule="auto"/>
        <w:ind w:firstLine="48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2.</w:t>
      </w:r>
      <w:r>
        <w:rPr>
          <w:rFonts w:hint="eastAsia" w:ascii="仿宋_GB2312" w:hAnsi="宋体" w:eastAsia="仿宋_GB2312" w:cs="宋体"/>
          <w:color w:val="auto"/>
          <w:sz w:val="32"/>
          <w:szCs w:val="32"/>
          <w:lang w:val="en-US" w:eastAsia="zh-CN"/>
        </w:rPr>
        <w:t>总报价表及分项报价表</w:t>
      </w:r>
      <w:r>
        <w:rPr>
          <w:rFonts w:hint="eastAsia" w:ascii="仿宋_GB2312" w:hAnsi="宋体" w:eastAsia="仿宋_GB2312" w:cs="宋体"/>
          <w:color w:val="auto"/>
          <w:sz w:val="32"/>
          <w:szCs w:val="32"/>
          <w:lang w:val="zh-CN"/>
        </w:rPr>
        <w:t>。</w:t>
      </w:r>
    </w:p>
    <w:p w14:paraId="679BB3C5">
      <w:pPr>
        <w:autoSpaceDE w:val="0"/>
        <w:autoSpaceDN w:val="0"/>
        <w:adjustRightInd w:val="0"/>
        <w:snapToGrid w:val="0"/>
        <w:spacing w:line="360" w:lineRule="auto"/>
        <w:ind w:firstLine="48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zh-CN" w:eastAsia="zh-CN"/>
        </w:rPr>
        <w:t>3.</w:t>
      </w:r>
      <w:r>
        <w:rPr>
          <w:rFonts w:hint="eastAsia" w:ascii="仿宋_GB2312" w:hAnsi="宋体" w:eastAsia="仿宋_GB2312" w:cs="宋体"/>
          <w:color w:val="auto"/>
          <w:sz w:val="32"/>
          <w:szCs w:val="32"/>
          <w:lang w:val="en-US" w:eastAsia="zh-CN"/>
        </w:rPr>
        <w:t>法人身份证明和法人授权委托书</w:t>
      </w:r>
      <w:r>
        <w:rPr>
          <w:rFonts w:hint="eastAsia" w:ascii="仿宋_GB2312" w:hAnsi="宋体" w:eastAsia="仿宋_GB2312" w:cs="宋体"/>
          <w:color w:val="auto"/>
          <w:sz w:val="32"/>
          <w:szCs w:val="32"/>
          <w:lang w:val="zh-CN" w:eastAsia="zh-CN"/>
        </w:rPr>
        <w:t>。</w:t>
      </w:r>
    </w:p>
    <w:p w14:paraId="4FAFBDA2">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4.改造工程院内招采要求响应表。</w:t>
      </w:r>
    </w:p>
    <w:p w14:paraId="6A0C54EB">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5.投标书面廉政承诺。</w:t>
      </w:r>
    </w:p>
    <w:p w14:paraId="268AB6AB">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6.现场踏勘表（联系人张晓波，见招标公告）。</w:t>
      </w:r>
    </w:p>
    <w:p w14:paraId="5093E833">
      <w:pPr>
        <w:autoSpaceDE w:val="0"/>
        <w:autoSpaceDN w:val="0"/>
        <w:adjustRightInd w:val="0"/>
        <w:snapToGrid w:val="0"/>
        <w:spacing w:line="360" w:lineRule="auto"/>
        <w:ind w:firstLine="48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7.其他供应商提供能完成本项目的资料。</w:t>
      </w:r>
    </w:p>
    <w:p w14:paraId="6AD9EA00">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 xml:space="preserve">注：上述资料缺项将导致无效投标。  </w:t>
      </w:r>
    </w:p>
    <w:p w14:paraId="1B1D8D43">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14:paraId="7B8D05B0">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14:paraId="51736353">
      <w:pPr>
        <w:autoSpaceDE w:val="0"/>
        <w:autoSpaceDN w:val="0"/>
        <w:adjustRightInd w:val="0"/>
        <w:snapToGrid w:val="0"/>
        <w:spacing w:line="360" w:lineRule="auto"/>
        <w:ind w:right="480" w:firstLine="6240" w:firstLineChars="1950"/>
        <w:rPr>
          <w:rFonts w:hint="eastAsia" w:ascii="仿宋_GB2312" w:hAnsi="宋体" w:eastAsia="仿宋_GB2312" w:cs="宋体"/>
          <w:color w:val="auto"/>
          <w:sz w:val="32"/>
          <w:szCs w:val="32"/>
          <w:lang w:val="zh-CN"/>
        </w:r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08CDAF67">
      <w:pPr>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br w:type="page"/>
      </w:r>
    </w:p>
    <w:p w14:paraId="36C68360">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07EB8263">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3C2BBD18">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45141E33">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21721F33">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5B6A1BF4">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04EE9CC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3F7A1E83">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09260694">
      <w:pPr>
        <w:ind w:firstLine="640" w:firstLineChars="200"/>
        <w:rPr>
          <w:rFonts w:hint="eastAsia" w:ascii="方正仿宋_GBK" w:hAnsi="方正仿宋_GBK" w:eastAsia="方正仿宋_GBK" w:cs="方正仿宋_GBK"/>
          <w:sz w:val="32"/>
          <w:szCs w:val="32"/>
        </w:rPr>
      </w:pPr>
    </w:p>
    <w:p w14:paraId="21CDB30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42FD646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133E3C8C">
      <w:pPr>
        <w:rPr>
          <w:rFonts w:hint="eastAsia"/>
          <w:lang w:val="zh-CN"/>
        </w:rPr>
        <w:sectPr>
          <w:pgSz w:w="11906" w:h="16838"/>
          <w:pgMar w:top="1134" w:right="1134" w:bottom="1134" w:left="1134" w:header="851" w:footer="992" w:gutter="0"/>
          <w:cols w:space="720" w:num="1"/>
          <w:docGrid w:type="lines" w:linePitch="312" w:charSpace="0"/>
        </w:sectPr>
      </w:pPr>
    </w:p>
    <w:p w14:paraId="320C84DB">
      <w:pPr>
        <w:rPr>
          <w:rFonts w:hint="eastAsia"/>
          <w:lang w:val="zh-CN"/>
        </w:rPr>
      </w:pPr>
    </w:p>
    <w:p w14:paraId="1B46BD6D">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251BEE4D">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05601620">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0" w:name="_Toc156196559"/>
      <w:bookmarkStart w:id="1" w:name="_Toc166549448"/>
      <w:bookmarkStart w:id="2" w:name="_Toc156730450"/>
      <w:bookmarkStart w:id="3" w:name="_Toc173677397"/>
      <w:bookmarkStart w:id="4" w:name="_Toc128229745"/>
      <w:bookmarkStart w:id="5" w:name="_Toc128229302"/>
      <w:bookmarkStart w:id="6" w:name="_Toc175017342"/>
      <w:bookmarkStart w:id="7" w:name="_Toc156196470"/>
      <w:bookmarkStart w:id="8" w:name="_Toc156815770"/>
      <w:bookmarkStart w:id="9" w:name="_Toc128229916"/>
      <w:bookmarkStart w:id="10" w:name="_Toc166139912"/>
      <w:r>
        <w:rPr>
          <w:rFonts w:hint="eastAsia" w:ascii="方正仿宋_GBK" w:hAnsi="方正仿宋_GBK" w:eastAsia="方正仿宋_GBK" w:cs="方正仿宋_GBK"/>
          <w:color w:val="auto"/>
          <w:sz w:val="32"/>
          <w:szCs w:val="32"/>
        </w:rPr>
        <w:t>特此证明。</w:t>
      </w:r>
      <w:bookmarkEnd w:id="0"/>
      <w:bookmarkEnd w:id="1"/>
      <w:bookmarkEnd w:id="2"/>
      <w:bookmarkEnd w:id="3"/>
      <w:bookmarkEnd w:id="4"/>
      <w:bookmarkEnd w:id="5"/>
      <w:bookmarkEnd w:id="6"/>
      <w:bookmarkEnd w:id="7"/>
      <w:bookmarkEnd w:id="8"/>
      <w:bookmarkEnd w:id="9"/>
      <w:bookmarkEnd w:id="10"/>
    </w:p>
    <w:p w14:paraId="4FB5DCC6">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1" w:name="_Toc166549449"/>
      <w:bookmarkStart w:id="12" w:name="_Toc175017343"/>
      <w:bookmarkStart w:id="13" w:name="_Toc173677398"/>
      <w:bookmarkStart w:id="14" w:name="_Toc166139913"/>
      <w:bookmarkStart w:id="15" w:name="_Toc156815771"/>
      <w:bookmarkStart w:id="16" w:name="_Toc156730451"/>
      <w:bookmarkStart w:id="17" w:name="_Toc156196471"/>
      <w:bookmarkStart w:id="18" w:name="_Toc156196560"/>
      <w:bookmarkStart w:id="19" w:name="_Toc128229917"/>
      <w:bookmarkStart w:id="20" w:name="_Toc128229303"/>
      <w:bookmarkStart w:id="21" w:name="_Toc128229746"/>
      <w:r>
        <w:rPr>
          <w:rFonts w:hint="eastAsia" w:ascii="方正仿宋_GBK" w:hAnsi="方正仿宋_GBK" w:eastAsia="方正仿宋_GBK" w:cs="方正仿宋_GBK"/>
          <w:color w:val="auto"/>
          <w:sz w:val="32"/>
          <w:szCs w:val="32"/>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方正仿宋_GBK" w:hAnsi="方正仿宋_GBK" w:eastAsia="方正仿宋_GBK" w:cs="方正仿宋_GBK"/>
          <w:color w:val="auto"/>
          <w:sz w:val="32"/>
          <w:szCs w:val="32"/>
        </w:rPr>
        <w:t>：（公章）</w:t>
      </w:r>
    </w:p>
    <w:p w14:paraId="6D54A505">
      <w:pPr>
        <w:tabs>
          <w:tab w:val="left" w:pos="6300"/>
        </w:tabs>
        <w:adjustRightInd w:val="0"/>
        <w:snapToGrid w:val="0"/>
        <w:spacing w:line="360" w:lineRule="auto"/>
        <w:jc w:val="right"/>
        <w:rPr>
          <w:rFonts w:hint="eastAsia"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51342619">
      <w:pPr>
        <w:rPr>
          <w:rFonts w:hint="eastAsia" w:ascii="仿宋_GB2312" w:hAnsi="宋体" w:eastAsia="仿宋_GB2312"/>
          <w:color w:val="auto"/>
          <w:sz w:val="24"/>
        </w:rPr>
      </w:pPr>
      <w:r>
        <w:rPr>
          <w:rFonts w:hint="eastAsia" w:ascii="仿宋_GB2312" w:hAnsi="宋体" w:eastAsia="仿宋_GB2312"/>
          <w:color w:val="auto"/>
          <w:sz w:val="24"/>
        </w:rPr>
        <w:br w:type="page"/>
      </w:r>
    </w:p>
    <w:p w14:paraId="1D456E53">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25DEF3A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14:paraId="1E38BA5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u w:val="single"/>
          <w:lang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重庆医科大学附属璧山医院</w:t>
      </w:r>
    </w:p>
    <w:p w14:paraId="4AF6330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3B80CC3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17C7F02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0179050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50B00FC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5B7FE21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1FCBDA2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079E5C4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17135A35">
      <w:pPr>
        <w:pStyle w:val="12"/>
        <w:numPr>
          <w:ilvl w:val="0"/>
          <w:numId w:val="0"/>
        </w:numPr>
        <w:tabs>
          <w:tab w:val="clear" w:pos="3600"/>
        </w:tabs>
        <w:ind w:left="2880" w:leftChars="0"/>
        <w:rPr>
          <w:rFonts w:hint="eastAsia"/>
        </w:rPr>
      </w:pPr>
    </w:p>
    <w:p w14:paraId="775A5214">
      <w:pPr>
        <w:rPr>
          <w:rFonts w:hint="eastAsia"/>
        </w:rPr>
      </w:pPr>
    </w:p>
    <w:p w14:paraId="51ED9A5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07B607C1">
      <w:pPr>
        <w:pStyle w:val="6"/>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64AA7A11">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2A70139C">
      <w:pPr>
        <w:pStyle w:val="6"/>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本公司经实地踏勘现场，查看图纸及采购公告等资料，已充分了解采购人的采购要求，按照市场公平竞争原则，自愿参与贵院本项目的竞价，并愿意承担由此产生的相关费用和商业风险。</w:t>
      </w:r>
    </w:p>
    <w:p w14:paraId="2FAFDBD7">
      <w:pPr>
        <w:pStyle w:val="6"/>
        <w:numPr>
          <w:ilvl w:val="0"/>
          <w:numId w:val="2"/>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经慎重考虑，本公司完全响应和满足采购人的采购要求，愿意按照询价采购文件中的要求，对本项目进行改造施工，总报价为人民币大写：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该报价包含了采购人全费用清单的项目，以及完成本项目所需的安全文明措施费、人工费、材料费、税费、保险费、运输搬运费、除渣费、场地清洁费等完成本项目的所有费用，并承诺规范施工自愿承担施工期间的安全责任。</w:t>
      </w:r>
    </w:p>
    <w:p w14:paraId="4C81FBDC">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3109AD46">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0DAEDCB8">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3160ADD3">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5．在整个询价采购过程中，我方若有违纪违规行为自愿接受相关法律处罚。</w:t>
      </w:r>
    </w:p>
    <w:p w14:paraId="1D7AE3F5">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7EA66A8">
      <w:pPr>
        <w:pStyle w:val="6"/>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4E2A383">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sz w:val="32"/>
          <w:szCs w:val="32"/>
          <w:lang w:val="en-US" w:eastAsia="zh-CN"/>
        </w:rPr>
        <w:t>年  月   日</w:t>
      </w:r>
      <w:r>
        <w:rPr>
          <w:rFonts w:hint="eastAsia" w:ascii="仿宋_GB2312" w:hAnsi="宋体" w:eastAsia="仿宋_GB2312"/>
          <w:color w:val="auto"/>
          <w:sz w:val="24"/>
        </w:rPr>
        <w:t xml:space="preserve">        </w:t>
      </w:r>
    </w:p>
    <w:p w14:paraId="6D89223E">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237057793"/>
      <w:bookmarkStart w:id="23" w:name="_Toc156196472"/>
      <w:bookmarkStart w:id="24" w:name="_Toc128014297"/>
      <w:bookmarkStart w:id="25" w:name="_Toc128229747"/>
      <w:bookmarkStart w:id="26" w:name="_Toc175017344"/>
      <w:bookmarkStart w:id="27" w:name="_Toc173677399"/>
      <w:bookmarkStart w:id="28" w:name="_Toc128229304"/>
    </w:p>
    <w:bookmarkEnd w:id="22"/>
    <w:bookmarkEnd w:id="23"/>
    <w:bookmarkEnd w:id="24"/>
    <w:bookmarkEnd w:id="25"/>
    <w:bookmarkEnd w:id="26"/>
    <w:bookmarkEnd w:id="27"/>
    <w:bookmarkEnd w:id="28"/>
    <w:p w14:paraId="483A415E">
      <w:pPr>
        <w:tabs>
          <w:tab w:val="left" w:pos="6300"/>
        </w:tabs>
        <w:adjustRightInd w:val="0"/>
        <w:snapToGrid w:val="0"/>
        <w:spacing w:line="360" w:lineRule="auto"/>
        <w:jc w:val="center"/>
        <w:rPr>
          <w:rFonts w:hint="eastAsia" w:ascii="仿宋" w:hAnsi="仿宋" w:eastAsia="仿宋"/>
          <w:b/>
          <w:snapToGrid w:val="0"/>
          <w:color w:val="auto"/>
          <w:kern w:val="0"/>
          <w:sz w:val="40"/>
          <w:szCs w:val="40"/>
          <w:lang w:val="en-US" w:eastAsia="zh-CN"/>
        </w:rPr>
      </w:pPr>
      <w:r>
        <w:rPr>
          <w:rFonts w:hint="eastAsia" w:ascii="仿宋" w:hAnsi="仿宋" w:eastAsia="仿宋"/>
          <w:b/>
          <w:snapToGrid w:val="0"/>
          <w:color w:val="auto"/>
          <w:kern w:val="0"/>
          <w:sz w:val="40"/>
          <w:szCs w:val="40"/>
          <w:lang w:val="en-US" w:eastAsia="zh-CN"/>
        </w:rPr>
        <w:t>分项报价表</w:t>
      </w:r>
    </w:p>
    <w:tbl>
      <w:tblPr>
        <w:tblStyle w:val="7"/>
        <w:tblW w:w="10684" w:type="dxa"/>
        <w:tblInd w:w="-9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2100"/>
        <w:gridCol w:w="1941"/>
        <w:gridCol w:w="1300"/>
        <w:gridCol w:w="1457"/>
        <w:gridCol w:w="1086"/>
        <w:gridCol w:w="928"/>
        <w:gridCol w:w="158"/>
        <w:gridCol w:w="742"/>
        <w:gridCol w:w="158"/>
      </w:tblGrid>
      <w:tr w14:paraId="5783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E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2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C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C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计算式</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1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B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3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9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r>
      <w:tr w14:paraId="5CEF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7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F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2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8994">
            <w:pPr>
              <w:jc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4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6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4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0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BA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B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C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9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0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F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6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6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A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D2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9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B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1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C83F">
            <w:pPr>
              <w:jc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E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4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2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7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04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B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9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9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C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9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9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B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E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FE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B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D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3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D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3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3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4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A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02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B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A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D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B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9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E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F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C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BE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E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8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5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D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5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2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7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0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43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6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7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4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9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7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8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4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C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52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4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8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3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9E5D">
            <w:pPr>
              <w:jc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5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A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F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4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21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480" w:hRule="atLeast"/>
        </w:trPr>
        <w:tc>
          <w:tcPr>
            <w:tcW w:w="962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8421">
            <w:pPr>
              <w:tabs>
                <w:tab w:val="left" w:pos="6300"/>
              </w:tabs>
              <w:adjustRightInd w:val="0"/>
              <w:snapToGrid w:val="0"/>
              <w:spacing w:line="360" w:lineRule="auto"/>
              <w:jc w:val="right"/>
              <w:rPr>
                <w:rFonts w:hint="default" w:ascii="仿宋" w:hAnsi="仿宋" w:eastAsia="仿宋"/>
                <w:b/>
                <w:snapToGrid w:val="0"/>
                <w:color w:val="auto"/>
                <w:kern w:val="0"/>
                <w:sz w:val="24"/>
                <w:lang w:val="en-US" w:eastAsia="zh-CN"/>
              </w:rPr>
            </w:pPr>
            <w:r>
              <w:rPr>
                <w:rFonts w:hint="eastAsia" w:ascii="宋体" w:hAnsi="宋体" w:eastAsia="宋体" w:cs="宋体"/>
                <w:i w:val="0"/>
                <w:iCs w:val="0"/>
                <w:color w:val="000000"/>
                <w:kern w:val="0"/>
                <w:sz w:val="24"/>
                <w:szCs w:val="24"/>
                <w:u w:val="none"/>
                <w:lang w:val="en-US" w:eastAsia="zh-CN" w:bidi="ar"/>
              </w:rPr>
              <w:t>合计</w:t>
            </w:r>
            <w:r>
              <w:rPr>
                <w:rFonts w:hint="eastAsia" w:ascii="仿宋" w:hAnsi="仿宋" w:eastAsia="仿宋"/>
                <w:b/>
                <w:snapToGrid w:val="0"/>
                <w:color w:val="auto"/>
                <w:kern w:val="0"/>
                <w:sz w:val="24"/>
                <w:lang w:val="en-US" w:eastAsia="zh-CN"/>
              </w:rPr>
              <w:t>（汇总报价不得超过总报价）</w:t>
            </w:r>
          </w:p>
          <w:p w14:paraId="65A825A3">
            <w:pPr>
              <w:jc w:val="right"/>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0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46E82503">
      <w:pPr>
        <w:tabs>
          <w:tab w:val="left" w:pos="6300"/>
        </w:tabs>
        <w:adjustRightInd w:val="0"/>
        <w:snapToGrid w:val="0"/>
        <w:spacing w:line="360" w:lineRule="auto"/>
        <w:rPr>
          <w:rFonts w:ascii="仿宋" w:hAnsi="仿宋" w:eastAsia="仿宋"/>
          <w:b/>
          <w:snapToGrid w:val="0"/>
          <w:color w:val="auto"/>
          <w:kern w:val="0"/>
          <w:sz w:val="24"/>
        </w:rPr>
      </w:pPr>
    </w:p>
    <w:p w14:paraId="0F0C77DE">
      <w:pPr>
        <w:pStyle w:val="3"/>
        <w:rPr>
          <w:color w:val="auto"/>
        </w:rPr>
      </w:pPr>
    </w:p>
    <w:p w14:paraId="702EACDA">
      <w:pPr>
        <w:tabs>
          <w:tab w:val="left" w:pos="6300"/>
        </w:tabs>
        <w:adjustRightInd w:val="0"/>
        <w:snapToGrid w:val="0"/>
        <w:spacing w:line="360" w:lineRule="auto"/>
        <w:rPr>
          <w:rFonts w:ascii="仿宋" w:hAnsi="仿宋" w:eastAsia="仿宋"/>
          <w:b/>
          <w:snapToGrid w:val="0"/>
          <w:color w:val="auto"/>
          <w:kern w:val="0"/>
          <w:sz w:val="24"/>
        </w:rPr>
      </w:pPr>
    </w:p>
    <w:p w14:paraId="5F09548B">
      <w:pPr>
        <w:tabs>
          <w:tab w:val="left" w:pos="6300"/>
        </w:tabs>
        <w:adjustRightInd w:val="0"/>
        <w:snapToGrid w:val="0"/>
        <w:spacing w:line="360" w:lineRule="auto"/>
        <w:rPr>
          <w:rFonts w:ascii="仿宋" w:hAnsi="仿宋" w:eastAsia="仿宋"/>
          <w:b/>
          <w:snapToGrid w:val="0"/>
          <w:color w:val="auto"/>
          <w:kern w:val="0"/>
          <w:sz w:val="24"/>
        </w:rPr>
      </w:pPr>
    </w:p>
    <w:p w14:paraId="6F2BBEBA">
      <w:pPr>
        <w:rPr>
          <w:rFonts w:hint="eastAsia" w:ascii="仿宋" w:hAnsi="仿宋" w:eastAsia="仿宋"/>
          <w:b/>
          <w:snapToGrid w:val="0"/>
          <w:color w:val="auto"/>
          <w:kern w:val="0"/>
          <w:sz w:val="24"/>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b/>
          <w:snapToGrid w:val="0"/>
          <w:color w:val="auto"/>
          <w:kern w:val="0"/>
          <w:sz w:val="24"/>
          <w:lang w:val="en-US" w:eastAsia="zh-CN"/>
        </w:rPr>
        <w:br w:type="page"/>
      </w:r>
    </w:p>
    <w:p w14:paraId="5A1558F2">
      <w:pPr>
        <w:snapToGrid w:val="0"/>
        <w:spacing w:line="400" w:lineRule="exact"/>
        <w:ind w:left="0" w:leftChars="0" w:firstLine="0" w:firstLineChars="0"/>
        <w:jc w:val="center"/>
        <w:rPr>
          <w:rFonts w:hint="eastAsia" w:ascii="宋体" w:hAnsi="宋体" w:cs="宋体"/>
          <w:color w:val="000000"/>
          <w:sz w:val="24"/>
          <w:szCs w:val="28"/>
        </w:rPr>
      </w:pPr>
      <w:r>
        <w:rPr>
          <w:rFonts w:hint="eastAsia" w:ascii="仿宋_GB2312" w:hAnsi="宋体" w:eastAsia="仿宋_GB2312" w:cs="宋体"/>
          <w:color w:val="auto"/>
          <w:sz w:val="32"/>
          <w:szCs w:val="32"/>
          <w:lang w:val="en-US" w:eastAsia="zh-CN"/>
        </w:rPr>
        <w:t>改造工程院内招采要求响应表</w:t>
      </w:r>
    </w:p>
    <w:tbl>
      <w:tblPr>
        <w:tblStyle w:val="7"/>
        <w:tblW w:w="5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956"/>
        <w:gridCol w:w="3343"/>
        <w:gridCol w:w="1325"/>
        <w:gridCol w:w="1478"/>
      </w:tblGrid>
      <w:tr w14:paraId="2F86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4" w:type="dxa"/>
            <w:noWrap w:val="0"/>
            <w:vAlign w:val="center"/>
          </w:tcPr>
          <w:p w14:paraId="490A3AF6">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956" w:type="dxa"/>
            <w:noWrap w:val="0"/>
            <w:vAlign w:val="center"/>
          </w:tcPr>
          <w:p w14:paraId="597604F1">
            <w:pPr>
              <w:tabs>
                <w:tab w:val="left" w:pos="6300"/>
              </w:tabs>
              <w:snapToGrid w:val="0"/>
              <w:spacing w:line="500" w:lineRule="exac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内容</w:t>
            </w:r>
          </w:p>
        </w:tc>
        <w:tc>
          <w:tcPr>
            <w:tcW w:w="3343" w:type="dxa"/>
            <w:noWrap w:val="0"/>
            <w:vAlign w:val="center"/>
          </w:tcPr>
          <w:p w14:paraId="6557CC35">
            <w:pPr>
              <w:tabs>
                <w:tab w:val="left" w:pos="6300"/>
              </w:tabs>
              <w:snapToGrid w:val="0"/>
              <w:spacing w:line="500" w:lineRule="exac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1325" w:type="dxa"/>
            <w:noWrap w:val="0"/>
            <w:vAlign w:val="center"/>
          </w:tcPr>
          <w:p w14:paraId="3EC79F46">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1478" w:type="dxa"/>
            <w:noWrap w:val="0"/>
            <w:vAlign w:val="center"/>
          </w:tcPr>
          <w:p w14:paraId="61480607">
            <w:pPr>
              <w:tabs>
                <w:tab w:val="left" w:pos="6300"/>
              </w:tabs>
              <w:snapToGrid w:val="0"/>
              <w:spacing w:line="500" w:lineRule="exac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附佐证材料页码</w:t>
            </w:r>
          </w:p>
        </w:tc>
      </w:tr>
      <w:tr w14:paraId="2DFA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5468AE24">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956" w:type="dxa"/>
            <w:noWrap w:val="0"/>
            <w:vAlign w:val="center"/>
          </w:tcPr>
          <w:p w14:paraId="591C7EB1">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343" w:type="dxa"/>
            <w:noWrap w:val="0"/>
            <w:vAlign w:val="center"/>
          </w:tcPr>
          <w:p w14:paraId="51FB6D83">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6C8F167A">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2C112076">
            <w:pPr>
              <w:tabs>
                <w:tab w:val="left" w:pos="6300"/>
              </w:tabs>
              <w:snapToGrid w:val="0"/>
              <w:spacing w:line="500" w:lineRule="exact"/>
              <w:jc w:val="center"/>
              <w:rPr>
                <w:rFonts w:hint="eastAsia" w:ascii="宋体" w:hAnsi="宋体" w:cs="宋体"/>
                <w:color w:val="000000"/>
                <w:sz w:val="21"/>
                <w:szCs w:val="21"/>
              </w:rPr>
            </w:pPr>
          </w:p>
        </w:tc>
      </w:tr>
      <w:tr w14:paraId="711F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2954C9A3">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5FE11043">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4640A342">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0AFDFD6D">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5ADECA30">
            <w:pPr>
              <w:tabs>
                <w:tab w:val="left" w:pos="6300"/>
              </w:tabs>
              <w:snapToGrid w:val="0"/>
              <w:spacing w:line="500" w:lineRule="exact"/>
              <w:jc w:val="center"/>
              <w:rPr>
                <w:rFonts w:hint="eastAsia" w:ascii="宋体" w:hAnsi="宋体" w:cs="宋体"/>
                <w:color w:val="000000"/>
                <w:sz w:val="21"/>
                <w:szCs w:val="21"/>
              </w:rPr>
            </w:pPr>
          </w:p>
        </w:tc>
      </w:tr>
      <w:tr w14:paraId="4FB2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0468AA9B">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4C00D7E1">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395A8A9E">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1C671513">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740C5BDB">
            <w:pPr>
              <w:tabs>
                <w:tab w:val="left" w:pos="6300"/>
              </w:tabs>
              <w:snapToGrid w:val="0"/>
              <w:spacing w:line="500" w:lineRule="exact"/>
              <w:jc w:val="center"/>
              <w:rPr>
                <w:rFonts w:hint="eastAsia" w:ascii="宋体" w:hAnsi="宋体" w:cs="宋体"/>
                <w:color w:val="000000"/>
                <w:sz w:val="21"/>
                <w:szCs w:val="21"/>
              </w:rPr>
            </w:pPr>
          </w:p>
        </w:tc>
      </w:tr>
      <w:tr w14:paraId="6605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1140CF95">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34A45B71">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557318BB">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5C4FF76A">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47A825F5">
            <w:pPr>
              <w:tabs>
                <w:tab w:val="left" w:pos="6300"/>
              </w:tabs>
              <w:snapToGrid w:val="0"/>
              <w:spacing w:line="500" w:lineRule="exact"/>
              <w:jc w:val="center"/>
              <w:rPr>
                <w:rFonts w:hint="eastAsia" w:ascii="宋体" w:hAnsi="宋体" w:cs="宋体"/>
                <w:color w:val="000000"/>
                <w:sz w:val="21"/>
                <w:szCs w:val="21"/>
              </w:rPr>
            </w:pPr>
          </w:p>
        </w:tc>
      </w:tr>
      <w:tr w14:paraId="640F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38424BB7">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673CCDB0">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37466CB2">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7D6DC693">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63E045CC">
            <w:pPr>
              <w:tabs>
                <w:tab w:val="left" w:pos="6300"/>
              </w:tabs>
              <w:snapToGrid w:val="0"/>
              <w:spacing w:line="500" w:lineRule="exact"/>
              <w:jc w:val="center"/>
              <w:rPr>
                <w:rFonts w:hint="eastAsia" w:ascii="宋体" w:hAnsi="宋体" w:cs="宋体"/>
                <w:color w:val="000000"/>
                <w:sz w:val="21"/>
                <w:szCs w:val="21"/>
              </w:rPr>
            </w:pPr>
          </w:p>
        </w:tc>
      </w:tr>
      <w:tr w14:paraId="2B41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008BB223">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672D5076">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25EA51BE">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3E704D5F">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6F067DBC">
            <w:pPr>
              <w:tabs>
                <w:tab w:val="left" w:pos="6300"/>
              </w:tabs>
              <w:snapToGrid w:val="0"/>
              <w:spacing w:line="500" w:lineRule="exact"/>
              <w:jc w:val="center"/>
              <w:rPr>
                <w:rFonts w:hint="eastAsia" w:ascii="宋体" w:hAnsi="宋体" w:cs="宋体"/>
                <w:color w:val="000000"/>
                <w:sz w:val="21"/>
                <w:szCs w:val="21"/>
              </w:rPr>
            </w:pPr>
          </w:p>
        </w:tc>
      </w:tr>
      <w:tr w14:paraId="5DB9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6176A6AB">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365DF4CC">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65FD7537">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40C1EC0A">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6C781653">
            <w:pPr>
              <w:tabs>
                <w:tab w:val="left" w:pos="6300"/>
              </w:tabs>
              <w:snapToGrid w:val="0"/>
              <w:spacing w:line="500" w:lineRule="exact"/>
              <w:jc w:val="center"/>
              <w:rPr>
                <w:rFonts w:hint="eastAsia" w:ascii="宋体" w:hAnsi="宋体" w:cs="宋体"/>
                <w:color w:val="000000"/>
                <w:sz w:val="21"/>
                <w:szCs w:val="21"/>
              </w:rPr>
            </w:pPr>
          </w:p>
        </w:tc>
      </w:tr>
      <w:tr w14:paraId="0CBF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06B690C4">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252B8216">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6E9DAC58">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0B9B76B7">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324B4911">
            <w:pPr>
              <w:tabs>
                <w:tab w:val="left" w:pos="6300"/>
              </w:tabs>
              <w:snapToGrid w:val="0"/>
              <w:spacing w:line="500" w:lineRule="exact"/>
              <w:jc w:val="center"/>
              <w:rPr>
                <w:rFonts w:hint="eastAsia" w:ascii="宋体" w:hAnsi="宋体" w:cs="宋体"/>
                <w:color w:val="000000"/>
                <w:sz w:val="21"/>
                <w:szCs w:val="21"/>
              </w:rPr>
            </w:pPr>
          </w:p>
        </w:tc>
      </w:tr>
      <w:tr w14:paraId="1013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3FF77934">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5EEC3CA2">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6D558FF5">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21C6D85A">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5E345FA0">
            <w:pPr>
              <w:tabs>
                <w:tab w:val="left" w:pos="6300"/>
              </w:tabs>
              <w:snapToGrid w:val="0"/>
              <w:spacing w:line="500" w:lineRule="exact"/>
              <w:jc w:val="center"/>
              <w:rPr>
                <w:rFonts w:hint="eastAsia" w:ascii="宋体" w:hAnsi="宋体" w:cs="宋体"/>
                <w:color w:val="000000"/>
                <w:sz w:val="21"/>
                <w:szCs w:val="21"/>
              </w:rPr>
            </w:pPr>
          </w:p>
        </w:tc>
      </w:tr>
      <w:tr w14:paraId="30CB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530060FE">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5C3979CC">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4B80745E">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26E08F3D">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55FB786B">
            <w:pPr>
              <w:tabs>
                <w:tab w:val="left" w:pos="6300"/>
              </w:tabs>
              <w:snapToGrid w:val="0"/>
              <w:spacing w:line="500" w:lineRule="exact"/>
              <w:jc w:val="center"/>
              <w:rPr>
                <w:rFonts w:hint="eastAsia" w:ascii="宋体" w:hAnsi="宋体" w:cs="宋体"/>
                <w:color w:val="000000"/>
                <w:sz w:val="21"/>
                <w:szCs w:val="21"/>
              </w:rPr>
            </w:pPr>
          </w:p>
        </w:tc>
      </w:tr>
      <w:tr w14:paraId="227C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6400AA07">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208CFBB4">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2664DA78">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1779D756">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7D988427">
            <w:pPr>
              <w:tabs>
                <w:tab w:val="left" w:pos="6300"/>
              </w:tabs>
              <w:snapToGrid w:val="0"/>
              <w:spacing w:line="500" w:lineRule="exact"/>
              <w:jc w:val="center"/>
              <w:rPr>
                <w:rFonts w:hint="eastAsia" w:ascii="宋体" w:hAnsi="宋体" w:cs="宋体"/>
                <w:color w:val="000000"/>
                <w:sz w:val="21"/>
                <w:szCs w:val="21"/>
              </w:rPr>
            </w:pPr>
          </w:p>
        </w:tc>
      </w:tr>
      <w:tr w14:paraId="11D9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4F2BE0E2">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663AE7C7">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291B4BDC">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0259E386">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362D9B2C">
            <w:pPr>
              <w:tabs>
                <w:tab w:val="left" w:pos="6300"/>
              </w:tabs>
              <w:snapToGrid w:val="0"/>
              <w:spacing w:line="500" w:lineRule="exact"/>
              <w:jc w:val="center"/>
              <w:rPr>
                <w:rFonts w:hint="eastAsia" w:ascii="宋体" w:hAnsi="宋体" w:cs="宋体"/>
                <w:color w:val="000000"/>
                <w:sz w:val="21"/>
                <w:szCs w:val="21"/>
              </w:rPr>
            </w:pPr>
          </w:p>
        </w:tc>
      </w:tr>
    </w:tbl>
    <w:p w14:paraId="7CBD21EB">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6702D9C0">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1.本表</w:t>
      </w:r>
      <w:r>
        <w:rPr>
          <w:rFonts w:hint="eastAsia" w:ascii="宋体" w:hAnsi="宋体" w:cs="宋体"/>
          <w:color w:val="000000"/>
          <w:sz w:val="24"/>
          <w:szCs w:val="24"/>
          <w:lang w:val="en-US" w:eastAsia="zh-CN"/>
        </w:rPr>
        <w:t>请供应商逐项对照“改造工程院内招采要求”进行响应</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响应不全视为无效投标</w:t>
      </w:r>
      <w:r>
        <w:rPr>
          <w:rFonts w:hint="eastAsia" w:ascii="宋体" w:hAnsi="宋体" w:cs="宋体"/>
          <w:color w:val="000000"/>
          <w:sz w:val="24"/>
          <w:szCs w:val="24"/>
        </w:rPr>
        <w:t>；</w:t>
      </w:r>
    </w:p>
    <w:p w14:paraId="54C3F2D5">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w:t>
      </w:r>
      <w:r>
        <w:rPr>
          <w:rFonts w:hint="eastAsia" w:ascii="宋体" w:hAnsi="宋体" w:cs="宋体"/>
          <w:color w:val="000000"/>
          <w:sz w:val="24"/>
          <w:szCs w:val="24"/>
          <w:lang w:val="en-US" w:eastAsia="zh-CN"/>
        </w:rPr>
        <w:t>佐证</w:t>
      </w:r>
      <w:r>
        <w:rPr>
          <w:rFonts w:hint="eastAsia" w:ascii="宋体" w:hAnsi="宋体" w:cs="宋体"/>
          <w:color w:val="000000"/>
          <w:sz w:val="24"/>
          <w:szCs w:val="24"/>
        </w:rPr>
        <w:t>支撑材料应附本表后。（格式自定）</w:t>
      </w:r>
    </w:p>
    <w:p w14:paraId="0BD440B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.偏离情况请填写“无偏离”、“正偏离”或“负偏离”。</w:t>
      </w:r>
    </w:p>
    <w:p w14:paraId="10486445">
      <w:pPr>
        <w:rPr>
          <w:rFonts w:hint="eastAsia" w:ascii="仿宋" w:hAnsi="仿宋" w:eastAsia="仿宋"/>
          <w:b/>
          <w:snapToGrid w:val="0"/>
          <w:color w:val="auto"/>
          <w:kern w:val="0"/>
          <w:sz w:val="24"/>
          <w:lang w:val="en-US" w:eastAsia="zh-CN"/>
        </w:rPr>
      </w:pPr>
    </w:p>
    <w:p w14:paraId="1BF528FE">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ascii="仿宋" w:hAnsi="仿宋" w:eastAsia="仿宋"/>
          <w:b/>
          <w:snapToGrid w:val="0"/>
          <w:color w:val="auto"/>
          <w:kern w:val="0"/>
          <w:sz w:val="28"/>
          <w:szCs w:val="28"/>
        </w:rPr>
        <w:t xml:space="preserve">             </w:t>
      </w:r>
    </w:p>
    <w:p w14:paraId="39A9A9AE">
      <w:pPr>
        <w:jc w:val="center"/>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p>
    <w:p w14:paraId="25E17E8B">
      <w:pPr>
        <w:jc w:val="center"/>
        <w:rPr>
          <w:rFonts w:hint="eastAsia" w:ascii="仿宋_GB2312" w:hAnsi="宋体" w:eastAsia="仿宋_GB2312"/>
          <w:b/>
          <w:snapToGrid w:val="0"/>
          <w:color w:val="auto"/>
          <w:kern w:val="0"/>
          <w:sz w:val="40"/>
          <w:szCs w:val="28"/>
          <w:lang w:val="en-US" w:eastAsia="zh-CN"/>
        </w:rPr>
      </w:pPr>
      <w:r>
        <w:rPr>
          <w:rFonts w:hint="eastAsia" w:ascii="仿宋_GB2312" w:hAnsi="宋体" w:eastAsia="仿宋_GB2312"/>
          <w:b/>
          <w:snapToGrid w:val="0"/>
          <w:color w:val="auto"/>
          <w:kern w:val="0"/>
          <w:sz w:val="40"/>
          <w:szCs w:val="28"/>
          <w:lang w:val="en-US" w:eastAsia="zh-CN"/>
        </w:rPr>
        <w:t>现场踏勘情况记录表</w:t>
      </w:r>
    </w:p>
    <w:tbl>
      <w:tblPr>
        <w:tblStyle w:val="7"/>
        <w:tblW w:w="81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6"/>
        <w:gridCol w:w="4468"/>
      </w:tblGrid>
      <w:tr w14:paraId="6099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878E">
            <w:pPr>
              <w:keepNext w:val="0"/>
              <w:keepLines w:val="0"/>
              <w:widowControl/>
              <w:suppressLineNumbers w:val="0"/>
              <w:jc w:val="left"/>
              <w:textAlignment w:val="center"/>
              <w:rPr>
                <w:rFonts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项目名称</w:t>
            </w: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FF6B">
            <w:pPr>
              <w:rPr>
                <w:rFonts w:hint="eastAsia" w:ascii="方正仿宋_GBK" w:hAnsi="方正仿宋_GBK" w:eastAsia="方正仿宋_GBK" w:cs="方正仿宋_GBK"/>
                <w:i w:val="0"/>
                <w:iCs w:val="0"/>
                <w:color w:val="000000"/>
                <w:sz w:val="28"/>
                <w:szCs w:val="28"/>
                <w:u w:val="none"/>
              </w:rPr>
            </w:pPr>
          </w:p>
        </w:tc>
      </w:tr>
      <w:tr w14:paraId="2D7F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B6E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踏勘日期</w:t>
            </w: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B99F">
            <w:pPr>
              <w:rPr>
                <w:rFonts w:hint="eastAsia" w:ascii="方正仿宋_GBK" w:hAnsi="方正仿宋_GBK" w:eastAsia="方正仿宋_GBK" w:cs="方正仿宋_GBK"/>
                <w:i w:val="0"/>
                <w:iCs w:val="0"/>
                <w:color w:val="000000"/>
                <w:sz w:val="28"/>
                <w:szCs w:val="28"/>
                <w:u w:val="none"/>
              </w:rPr>
            </w:pPr>
          </w:p>
        </w:tc>
      </w:tr>
      <w:tr w14:paraId="0BC7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DA891F8">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主要踏勘内容：</w:t>
            </w:r>
          </w:p>
        </w:tc>
      </w:tr>
      <w:tr w14:paraId="66F3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D16E17">
            <w:pPr>
              <w:rPr>
                <w:rFonts w:hint="eastAsia" w:ascii="方正仿宋_GBK" w:hAnsi="方正仿宋_GBK" w:eastAsia="方正仿宋_GBK" w:cs="方正仿宋_GBK"/>
                <w:i w:val="0"/>
                <w:iCs w:val="0"/>
                <w:color w:val="000000"/>
                <w:sz w:val="28"/>
                <w:szCs w:val="28"/>
                <w:u w:val="none"/>
              </w:rPr>
            </w:pPr>
          </w:p>
        </w:tc>
      </w:tr>
      <w:tr w14:paraId="7F02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0" w:hRule="atLeast"/>
        </w:trPr>
        <w:tc>
          <w:tcPr>
            <w:tcW w:w="8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D09197">
            <w:pPr>
              <w:rPr>
                <w:rFonts w:hint="eastAsia" w:ascii="方正仿宋_GBK" w:hAnsi="方正仿宋_GBK" w:eastAsia="方正仿宋_GBK" w:cs="方正仿宋_GBK"/>
                <w:i w:val="0"/>
                <w:iCs w:val="0"/>
                <w:color w:val="000000"/>
                <w:sz w:val="28"/>
                <w:szCs w:val="28"/>
                <w:u w:val="none"/>
              </w:rPr>
            </w:pPr>
          </w:p>
        </w:tc>
      </w:tr>
      <w:tr w14:paraId="48C6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480EECE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供应商踏勘人员签字：</w:t>
            </w:r>
          </w:p>
        </w:tc>
        <w:tc>
          <w:tcPr>
            <w:tcW w:w="4468" w:type="dxa"/>
            <w:tcBorders>
              <w:top w:val="nil"/>
              <w:left w:val="nil"/>
              <w:bottom w:val="nil"/>
              <w:right w:val="nil"/>
            </w:tcBorders>
            <w:shd w:val="clear" w:color="auto" w:fill="auto"/>
            <w:noWrap/>
            <w:vAlign w:val="center"/>
          </w:tcPr>
          <w:p w14:paraId="3F030BBB">
            <w:pPr>
              <w:rPr>
                <w:rFonts w:hint="eastAsia" w:ascii="方正仿宋_GBK" w:hAnsi="方正仿宋_GBK" w:eastAsia="方正仿宋_GBK" w:cs="方正仿宋_GBK"/>
                <w:i w:val="0"/>
                <w:iCs w:val="0"/>
                <w:color w:val="000000"/>
                <w:sz w:val="28"/>
                <w:szCs w:val="28"/>
                <w:u w:val="none"/>
              </w:rPr>
            </w:pPr>
          </w:p>
        </w:tc>
      </w:tr>
      <w:tr w14:paraId="155A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20C54AC1">
            <w:pPr>
              <w:rPr>
                <w:rFonts w:hint="eastAsia" w:ascii="方正仿宋_GBK" w:hAnsi="方正仿宋_GBK" w:eastAsia="方正仿宋_GBK" w:cs="方正仿宋_GBK"/>
                <w:i w:val="0"/>
                <w:iCs w:val="0"/>
                <w:color w:val="000000"/>
                <w:sz w:val="28"/>
                <w:szCs w:val="28"/>
                <w:u w:val="none"/>
              </w:rPr>
            </w:pPr>
          </w:p>
        </w:tc>
        <w:tc>
          <w:tcPr>
            <w:tcW w:w="4468" w:type="dxa"/>
            <w:tcBorders>
              <w:top w:val="nil"/>
              <w:left w:val="nil"/>
              <w:bottom w:val="nil"/>
              <w:right w:val="nil"/>
            </w:tcBorders>
            <w:shd w:val="clear" w:color="auto" w:fill="auto"/>
            <w:noWrap/>
            <w:vAlign w:val="center"/>
          </w:tcPr>
          <w:p w14:paraId="52131649">
            <w:pPr>
              <w:rPr>
                <w:rFonts w:hint="eastAsia" w:ascii="方正仿宋_GBK" w:hAnsi="方正仿宋_GBK" w:eastAsia="方正仿宋_GBK" w:cs="方正仿宋_GBK"/>
                <w:i w:val="0"/>
                <w:iCs w:val="0"/>
                <w:color w:val="000000"/>
                <w:sz w:val="28"/>
                <w:szCs w:val="28"/>
                <w:u w:val="none"/>
              </w:rPr>
            </w:pPr>
          </w:p>
        </w:tc>
      </w:tr>
      <w:tr w14:paraId="2DCA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4C722BE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采购人陪同人员签字：</w:t>
            </w:r>
          </w:p>
        </w:tc>
        <w:tc>
          <w:tcPr>
            <w:tcW w:w="4468" w:type="dxa"/>
            <w:tcBorders>
              <w:top w:val="nil"/>
              <w:left w:val="nil"/>
              <w:bottom w:val="nil"/>
              <w:right w:val="nil"/>
            </w:tcBorders>
            <w:shd w:val="clear" w:color="auto" w:fill="auto"/>
            <w:noWrap/>
            <w:vAlign w:val="center"/>
          </w:tcPr>
          <w:p w14:paraId="7A3F707E">
            <w:pPr>
              <w:rPr>
                <w:rFonts w:hint="eastAsia" w:ascii="方正仿宋_GBK" w:hAnsi="方正仿宋_GBK" w:eastAsia="方正仿宋_GBK" w:cs="方正仿宋_GBK"/>
                <w:i w:val="0"/>
                <w:iCs w:val="0"/>
                <w:color w:val="000000"/>
                <w:sz w:val="28"/>
                <w:szCs w:val="28"/>
                <w:u w:val="none"/>
              </w:rPr>
            </w:pPr>
          </w:p>
        </w:tc>
      </w:tr>
    </w:tbl>
    <w:p w14:paraId="61F2A3A1">
      <w:pPr>
        <w:jc w:val="left"/>
        <w:rPr>
          <w:rFonts w:hint="eastAsia" w:ascii="仿宋_GB2312" w:hAnsi="宋体" w:eastAsia="仿宋_GB2312"/>
          <w:b/>
          <w:snapToGrid w:val="0"/>
          <w:color w:val="auto"/>
          <w:kern w:val="0"/>
          <w:sz w:val="40"/>
          <w:szCs w:val="28"/>
        </w:rPr>
      </w:pPr>
      <w:r>
        <w:rPr>
          <w:rFonts w:hint="eastAsia" w:ascii="Times New Roman" w:hAnsi="Times New Roman" w:eastAsia="方正仿宋_GBK" w:cs="Times New Roman"/>
          <w:b w:val="0"/>
          <w:bCs w:val="0"/>
          <w:color w:val="auto"/>
          <w:sz w:val="28"/>
          <w:szCs w:val="28"/>
          <w:lang w:val="en-US" w:eastAsia="zh-CN"/>
        </w:rPr>
        <w:t>注：供应商代表踏勘现场时，需向陪同人员出具供应商的介绍信或授权委托书和具有有效的消防设施工程专业承包贰级及以上资质;供应商具备行业主管部门颁发的有效的安全生产许可证。</w:t>
      </w:r>
      <w:bookmarkStart w:id="29" w:name="_GoBack"/>
      <w:bookmarkEnd w:id="29"/>
    </w:p>
    <w:p w14:paraId="5DE3D522">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ascii="仿宋" w:hAnsi="仿宋" w:eastAsia="仿宋"/>
          <w:b/>
          <w:snapToGrid w:val="0"/>
          <w:color w:val="auto"/>
          <w:kern w:val="0"/>
          <w:sz w:val="24"/>
        </w:rPr>
        <w:t xml:space="preserve">    </w:t>
      </w:r>
      <w:r>
        <w:rPr>
          <w:rFonts w:hint="eastAsia" w:ascii="仿宋" w:hAnsi="仿宋" w:eastAsia="仿宋"/>
          <w:b/>
          <w:snapToGrid w:val="0"/>
          <w:color w:val="auto"/>
          <w:kern w:val="0"/>
          <w:sz w:val="28"/>
          <w:szCs w:val="28"/>
        </w:rPr>
        <w:t xml:space="preserve">               </w:t>
      </w:r>
    </w:p>
    <w:p w14:paraId="3E7EEBB0">
      <w:pPr>
        <w:pStyle w:val="3"/>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132C554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6DD9F4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4D0E504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02D540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719F66F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167503E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01F8679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67C6EEB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62A3BE0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7732282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67A7D1E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580BADD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181E22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0435A22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772F3C73">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3E64C187">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6036EDF">
      <w:pPr>
        <w:pStyle w:val="3"/>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2CCC8243">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06DAA2C">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响应文件包装及密封要求（</w:t>
      </w:r>
      <w:r>
        <w:rPr>
          <w:rFonts w:hint="eastAsia" w:ascii="仿宋_GB2312" w:eastAsia="仿宋_GB2312" w:cs="宋体"/>
          <w:color w:val="auto"/>
          <w:sz w:val="32"/>
          <w:szCs w:val="32"/>
          <w:lang w:val="en-US" w:eastAsia="zh-CN"/>
        </w:rPr>
        <w:t>正本一份、副本三份，一并装入密封档案袋中）</w:t>
      </w:r>
    </w:p>
    <w:p w14:paraId="3B0B9ACA">
      <w:pPr>
        <w:rPr>
          <w:rFonts w:hint="default"/>
          <w:lang w:val="en-US" w:eastAsia="zh-CN"/>
        </w:rPr>
      </w:pPr>
      <w:r>
        <w:rPr>
          <w:rFonts w:hint="default"/>
          <w:lang w:val="en-US" w:eastAsia="zh-CN"/>
        </w:rPr>
        <w:drawing>
          <wp:inline distT="0" distB="0" distL="114300" distR="114300">
            <wp:extent cx="2766695" cy="3610610"/>
            <wp:effectExtent l="0" t="0" r="14605" b="8890"/>
            <wp:docPr id="5"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王静-采购办\Desktop\微信图片_20240320084311.jpg微信图片_20240320084311"/>
                    <pic:cNvPicPr>
                      <a:picLocks noChangeAspect="1"/>
                    </pic:cNvPicPr>
                  </pic:nvPicPr>
                  <pic:blipFill>
                    <a:blip r:embed="rId4"/>
                    <a:stretch>
                      <a:fillRect/>
                    </a:stretch>
                  </pic:blipFill>
                  <pic:spPr>
                    <a:xfrm>
                      <a:off x="0" y="0"/>
                      <a:ext cx="2766695" cy="3610610"/>
                    </a:xfrm>
                    <a:prstGeom prst="rect">
                      <a:avLst/>
                    </a:prstGeom>
                    <a:noFill/>
                    <a:ln>
                      <a:noFill/>
                    </a:ln>
                  </pic:spPr>
                </pic:pic>
              </a:graphicData>
            </a:graphic>
          </wp:inline>
        </w:drawing>
      </w:r>
      <w:r>
        <w:rPr>
          <w:rFonts w:hint="default"/>
          <w:lang w:val="en-US" w:eastAsia="zh-CN"/>
        </w:rPr>
        <w:drawing>
          <wp:inline distT="0" distB="0" distL="114300" distR="114300">
            <wp:extent cx="2776855" cy="3539490"/>
            <wp:effectExtent l="0" t="0" r="4445" b="3810"/>
            <wp:docPr id="4"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240320084137"/>
                    <pic:cNvPicPr>
                      <a:picLocks noChangeAspect="1"/>
                    </pic:cNvPicPr>
                  </pic:nvPicPr>
                  <pic:blipFill>
                    <a:blip r:embed="rId5"/>
                    <a:stretch>
                      <a:fillRect/>
                    </a:stretch>
                  </pic:blipFill>
                  <pic:spPr>
                    <a:xfrm>
                      <a:off x="0" y="0"/>
                      <a:ext cx="2776855" cy="3539490"/>
                    </a:xfrm>
                    <a:prstGeom prst="rect">
                      <a:avLst/>
                    </a:prstGeom>
                    <a:noFill/>
                    <a:ln>
                      <a:noFill/>
                    </a:ln>
                  </pic:spPr>
                </pic:pic>
              </a:graphicData>
            </a:graphic>
          </wp:inline>
        </w:drawing>
      </w:r>
    </w:p>
    <w:p w14:paraId="71FEDE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4B08E"/>
    <w:multiLevelType w:val="singleLevel"/>
    <w:tmpl w:val="DF44B08E"/>
    <w:lvl w:ilvl="0" w:tentative="0">
      <w:start w:val="1"/>
      <w:numFmt w:val="decimal"/>
      <w:suff w:val="nothing"/>
      <w:lvlText w:val="%1．"/>
      <w:lvlJc w:val="left"/>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81E0B"/>
    <w:rsid w:val="071756D0"/>
    <w:rsid w:val="0CE64C8D"/>
    <w:rsid w:val="105C1399"/>
    <w:rsid w:val="1AF86BE0"/>
    <w:rsid w:val="1CF00EFC"/>
    <w:rsid w:val="20C102A3"/>
    <w:rsid w:val="236757CC"/>
    <w:rsid w:val="27F8717E"/>
    <w:rsid w:val="2FF975F4"/>
    <w:rsid w:val="33FB61AD"/>
    <w:rsid w:val="456871FC"/>
    <w:rsid w:val="4C31315D"/>
    <w:rsid w:val="51A27694"/>
    <w:rsid w:val="58DD1220"/>
    <w:rsid w:val="5D7D5DA6"/>
    <w:rsid w:val="61143219"/>
    <w:rsid w:val="6CF079E3"/>
    <w:rsid w:val="6DD05A39"/>
    <w:rsid w:val="76AF60C5"/>
    <w:rsid w:val="77C80239"/>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cs="宋体"/>
      <w:sz w:val="24"/>
      <w:szCs w:val="24"/>
      <w:lang w:val="zh-CN" w:bidi="zh-CN"/>
    </w:rPr>
  </w:style>
  <w:style w:type="paragraph" w:styleId="4">
    <w:name w:val="Date"/>
    <w:basedOn w:val="1"/>
    <w:next w:val="1"/>
    <w:qFormat/>
    <w:uiPriority w:val="0"/>
    <w:rPr>
      <w:sz w:val="28"/>
    </w:rPr>
  </w:style>
  <w:style w:type="paragraph" w:styleId="5">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6">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character" w:customStyle="1" w:styleId="9">
    <w:name w:val="font91"/>
    <w:basedOn w:val="8"/>
    <w:qFormat/>
    <w:uiPriority w:val="0"/>
    <w:rPr>
      <w:rFonts w:ascii="楷体" w:hAnsi="楷体" w:eastAsia="楷体" w:cs="楷体"/>
      <w:color w:val="000000"/>
      <w:sz w:val="22"/>
      <w:szCs w:val="22"/>
      <w:u w:val="none"/>
      <w:vertAlign w:val="superscript"/>
    </w:rPr>
  </w:style>
  <w:style w:type="paragraph" w:customStyle="1" w:styleId="10">
    <w:name w:val="普通(网站)1"/>
    <w:basedOn w:val="1"/>
    <w:qFormat/>
    <w:uiPriority w:val="0"/>
    <w:rPr>
      <w:rFonts w:ascii="宋体" w:hAnsi="宋体" w:cs="宋体"/>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5392</Words>
  <Characters>6017</Characters>
  <Lines>0</Lines>
  <Paragraphs>0</Paragraphs>
  <TotalTime>7</TotalTime>
  <ScaleCrop>false</ScaleCrop>
  <LinksUpToDate>false</LinksUpToDate>
  <CharactersWithSpaces>6496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dcterms:modified xsi:type="dcterms:W3CDTF">2025-12-15T00:15:23Z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64A2EDB53A9A47AA9768E9AD513D585E</vt:lpwstr>
  </property>
  <property fmtid="{D5CDD505-2E9C-101B-9397-08002B2CF9AE}" pid="4" name="KSOTemplateDocerSaveRecord">
    <vt:lpwstr>eyJoZGlkIjoiNzliNmRkY2YyN2FjZDQwMDgzZGM4ZDZkNTA3MTFmNGMiLCJ1c2VySWQiOiIxNjE2MTQ1MTM5In0=</vt:lpwstr>
  </property>
</Properties>
</file>