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highlight w:val="none"/>
          <w:lang w:val="en-US" w:eastAsia="zh-CN"/>
        </w:rPr>
      </w:pPr>
    </w:p>
    <w:p w14:paraId="6B822749">
      <w:pPr>
        <w:rPr>
          <w:rFonts w:hint="eastAsia"/>
          <w:highlight w:val="none"/>
          <w:lang w:val="en-US" w:eastAsia="zh-CN"/>
        </w:rPr>
      </w:pPr>
    </w:p>
    <w:p w14:paraId="1AF09EFF">
      <w:pPr>
        <w:jc w:val="center"/>
        <w:rPr>
          <w:rFonts w:hint="eastAsia"/>
          <w:b/>
          <w:bCs/>
          <w:sz w:val="84"/>
          <w:szCs w:val="84"/>
          <w:highlight w:val="none"/>
          <w:lang w:val="en-US" w:eastAsia="zh-CN"/>
        </w:rPr>
      </w:pPr>
    </w:p>
    <w:p w14:paraId="3CCF2768">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3668B944">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9CB864">
      <w:pPr>
        <w:jc w:val="center"/>
        <w:rPr>
          <w:rFonts w:hint="eastAsia"/>
          <w:b/>
          <w:bCs/>
          <w:sz w:val="44"/>
          <w:szCs w:val="44"/>
          <w:highlight w:val="none"/>
          <w:lang w:val="en-US" w:eastAsia="zh-CN"/>
        </w:rPr>
      </w:pPr>
    </w:p>
    <w:p w14:paraId="2B9D3DFE">
      <w:pPr>
        <w:rPr>
          <w:rFonts w:hint="eastAsia"/>
          <w:sz w:val="32"/>
          <w:szCs w:val="32"/>
          <w:highlight w:val="none"/>
          <w:lang w:val="en-US" w:eastAsia="zh-CN"/>
        </w:rPr>
      </w:pPr>
    </w:p>
    <w:p w14:paraId="48824379">
      <w:pPr>
        <w:rPr>
          <w:rFonts w:hint="eastAsia"/>
          <w:sz w:val="32"/>
          <w:szCs w:val="32"/>
          <w:highlight w:val="none"/>
          <w:lang w:val="en-US" w:eastAsia="zh-CN"/>
        </w:rPr>
      </w:pPr>
    </w:p>
    <w:p w14:paraId="7A783359">
      <w:pPr>
        <w:rPr>
          <w:rFonts w:hint="eastAsia"/>
          <w:sz w:val="32"/>
          <w:szCs w:val="32"/>
          <w:highlight w:val="none"/>
          <w:lang w:val="en-US" w:eastAsia="zh-CN"/>
        </w:rPr>
      </w:pPr>
    </w:p>
    <w:p w14:paraId="6109D1C2">
      <w:pPr>
        <w:rPr>
          <w:rFonts w:hint="eastAsia"/>
          <w:sz w:val="32"/>
          <w:szCs w:val="32"/>
          <w:highlight w:val="none"/>
          <w:lang w:val="en-US" w:eastAsia="zh-CN"/>
        </w:rPr>
      </w:pPr>
    </w:p>
    <w:p w14:paraId="1A1DC98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项目名称：高通量靶向血浆脂质代谢组学检测</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编号：BSRMYY-YNCG-2025-09020</w:t>
      </w:r>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00D59933">
      <w:pPr>
        <w:rPr>
          <w:rFonts w:hint="eastAsia"/>
          <w:sz w:val="44"/>
          <w:szCs w:val="44"/>
          <w:highlight w:val="none"/>
          <w:lang w:val="en-US" w:eastAsia="zh-CN"/>
        </w:rPr>
      </w:pPr>
      <w:r>
        <w:rPr>
          <w:rFonts w:hint="eastAsia"/>
          <w:sz w:val="44"/>
          <w:szCs w:val="44"/>
          <w:highlight w:val="none"/>
          <w:lang w:val="en-US" w:eastAsia="zh-CN"/>
        </w:rPr>
        <w:br w:type="page"/>
      </w:r>
    </w:p>
    <w:p w14:paraId="09787943">
      <w:pPr>
        <w:jc w:val="center"/>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采购需求介绍</w:t>
      </w:r>
    </w:p>
    <w:p w14:paraId="4918220D">
      <w:pPr>
        <w:pStyle w:val="2"/>
        <w:pageBreakBefore w:val="0"/>
        <w:numPr>
          <w:ilvl w:val="0"/>
          <w:numId w:val="3"/>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采购项目介绍</w:t>
      </w:r>
    </w:p>
    <w:tbl>
      <w:tblPr>
        <w:tblStyle w:val="14"/>
        <w:tblW w:w="554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67"/>
        <w:gridCol w:w="2267"/>
        <w:gridCol w:w="1434"/>
        <w:gridCol w:w="2083"/>
        <w:gridCol w:w="2049"/>
        <w:gridCol w:w="2120"/>
      </w:tblGrid>
      <w:tr w14:paraId="590577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42" w:type="pct"/>
            <w:vAlign w:val="center"/>
          </w:tcPr>
          <w:p w14:paraId="100FCC84">
            <w:pPr>
              <w:pageBreakBefore w:val="0"/>
              <w:widowControl/>
              <w:kinsoku/>
              <w:wordWrap/>
              <w:overflowPunct/>
              <w:topLinePunct w:val="0"/>
              <w:autoSpaceDE/>
              <w:autoSpaceDN/>
              <w:bidi w:val="0"/>
              <w:adjustRightInd/>
              <w:snapToGrid/>
              <w:spacing w:line="240" w:lineRule="auto"/>
              <w:ind w:firstLine="0" w:firstLineChars="0"/>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rPr>
              <w:t>序号</w:t>
            </w:r>
          </w:p>
        </w:tc>
        <w:tc>
          <w:tcPr>
            <w:tcW w:w="1038" w:type="pct"/>
            <w:vAlign w:val="center"/>
          </w:tcPr>
          <w:p w14:paraId="4C8517E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lang w:eastAsia="zh-CN"/>
              </w:rPr>
              <w:t>项目</w:t>
            </w:r>
            <w:r>
              <w:rPr>
                <w:rFonts w:hint="eastAsia" w:ascii="方正仿宋_GBK" w:hAnsi="方正仿宋_GBK" w:eastAsia="方正仿宋_GBK" w:cs="方正仿宋_GBK"/>
                <w:b/>
                <w:bCs/>
                <w:kern w:val="0"/>
                <w:sz w:val="28"/>
                <w:szCs w:val="28"/>
                <w:highlight w:val="none"/>
              </w:rPr>
              <w:t>名称</w:t>
            </w:r>
          </w:p>
        </w:tc>
        <w:tc>
          <w:tcPr>
            <w:tcW w:w="656" w:type="pct"/>
            <w:vAlign w:val="center"/>
          </w:tcPr>
          <w:p w14:paraId="3C2F73F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lang w:eastAsia="zh-CN"/>
              </w:rPr>
              <w:t>数量（例）</w:t>
            </w:r>
          </w:p>
        </w:tc>
        <w:tc>
          <w:tcPr>
            <w:tcW w:w="953" w:type="pct"/>
            <w:vAlign w:val="center"/>
          </w:tcPr>
          <w:p w14:paraId="53E0CCC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938" w:type="pct"/>
            <w:vAlign w:val="center"/>
          </w:tcPr>
          <w:p w14:paraId="7808EE5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eastAsia="zh-CN"/>
              </w:rPr>
              <w:t>合计总价（元）</w:t>
            </w:r>
          </w:p>
        </w:tc>
        <w:tc>
          <w:tcPr>
            <w:tcW w:w="970" w:type="pct"/>
            <w:vAlign w:val="center"/>
          </w:tcPr>
          <w:p w14:paraId="4EF685C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val="0"/>
                <w:bCs w:val="0"/>
                <w:color w:val="000000" w:themeColor="text1"/>
                <w:kern w:val="0"/>
                <w:sz w:val="28"/>
                <w:szCs w:val="28"/>
                <w:highlight w:val="none"/>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highlight w:val="none"/>
                <w:lang w:eastAsia="zh-CN"/>
                <w14:textFill>
                  <w14:solidFill>
                    <w14:schemeClr w14:val="tx1"/>
                  </w14:solidFill>
                </w14:textFill>
              </w:rPr>
              <w:t>服务期限（年）</w:t>
            </w:r>
          </w:p>
        </w:tc>
      </w:tr>
      <w:tr w14:paraId="54F326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53" w:hRule="atLeast"/>
          <w:jc w:val="center"/>
        </w:trPr>
        <w:tc>
          <w:tcPr>
            <w:tcW w:w="442" w:type="pct"/>
            <w:vAlign w:val="center"/>
          </w:tcPr>
          <w:p w14:paraId="79DD3241">
            <w:pPr>
              <w:pStyle w:val="26"/>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1</w:t>
            </w:r>
          </w:p>
        </w:tc>
        <w:tc>
          <w:tcPr>
            <w:tcW w:w="1038" w:type="pct"/>
            <w:vAlign w:val="center"/>
          </w:tcPr>
          <w:p w14:paraId="0586508B">
            <w:pPr>
              <w:jc w:val="left"/>
              <w:rPr>
                <w:rFonts w:hint="eastAsia" w:ascii="方正仿宋_GBK" w:hAnsi="方正仿宋_GBK" w:eastAsia="微软雅黑" w:cs="方正仿宋_GBK"/>
                <w:sz w:val="24"/>
                <w:szCs w:val="24"/>
                <w:highlight w:val="none"/>
                <w:lang w:val="en-US" w:eastAsia="zh-CN"/>
              </w:rPr>
            </w:pPr>
            <w:r>
              <w:rPr>
                <w:rFonts w:hint="eastAsia" w:ascii="方正仿宋_GBK" w:hAnsi="方正仿宋_GBK" w:eastAsia="方正仿宋_GBK" w:cs="方正仿宋_GBK"/>
                <w:b/>
                <w:bCs/>
                <w:kern w:val="2"/>
                <w:sz w:val="28"/>
                <w:szCs w:val="28"/>
                <w:highlight w:val="none"/>
                <w:lang w:val="en-US" w:eastAsia="zh-CN" w:bidi="ar-SA"/>
              </w:rPr>
              <w:t>高通量靶向血浆脂质代谢组学检测</w:t>
            </w:r>
          </w:p>
        </w:tc>
        <w:tc>
          <w:tcPr>
            <w:tcW w:w="656" w:type="pct"/>
            <w:vAlign w:val="center"/>
          </w:tcPr>
          <w:p w14:paraId="2F113F89">
            <w:pPr>
              <w:jc w:val="center"/>
              <w:rPr>
                <w:rFonts w:hint="default"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100</w:t>
            </w:r>
          </w:p>
        </w:tc>
        <w:tc>
          <w:tcPr>
            <w:tcW w:w="953" w:type="pct"/>
            <w:vAlign w:val="center"/>
          </w:tcPr>
          <w:p w14:paraId="65042AF6">
            <w:pPr>
              <w:jc w:val="center"/>
              <w:rPr>
                <w:rFonts w:hint="default" w:ascii="方正仿宋_GBK" w:hAnsi="方正仿宋_GBK" w:eastAsia="方正仿宋_GBK" w:cs="方正仿宋_GBK"/>
                <w:b/>
                <w:bCs/>
                <w:kern w:val="2"/>
                <w:sz w:val="28"/>
                <w:szCs w:val="28"/>
                <w:highlight w:val="none"/>
                <w:lang w:val="en-US" w:eastAsia="zh-CN" w:bidi="ar-SA"/>
              </w:rPr>
            </w:pPr>
            <w:r>
              <w:rPr>
                <w:rFonts w:hint="default" w:ascii="方正仿宋_GBK" w:hAnsi="方正仿宋_GBK" w:eastAsia="方正仿宋_GBK" w:cs="方正仿宋_GBK"/>
                <w:b/>
                <w:bCs/>
                <w:kern w:val="2"/>
                <w:sz w:val="28"/>
                <w:szCs w:val="28"/>
                <w:highlight w:val="none"/>
                <w:lang w:val="en-US" w:eastAsia="zh-CN" w:bidi="ar-SA"/>
              </w:rPr>
              <w:t>500</w:t>
            </w:r>
          </w:p>
        </w:tc>
        <w:tc>
          <w:tcPr>
            <w:tcW w:w="938" w:type="pct"/>
            <w:vAlign w:val="center"/>
          </w:tcPr>
          <w:p w14:paraId="3BEB525A">
            <w:pPr>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b/>
                <w:bCs/>
                <w:kern w:val="2"/>
                <w:sz w:val="28"/>
                <w:szCs w:val="28"/>
                <w:highlight w:val="none"/>
                <w:lang w:val="en-US" w:eastAsia="zh-CN" w:bidi="ar-SA"/>
              </w:rPr>
              <w:t>50000</w:t>
            </w:r>
          </w:p>
        </w:tc>
        <w:tc>
          <w:tcPr>
            <w:tcW w:w="970" w:type="pct"/>
            <w:vAlign w:val="center"/>
          </w:tcPr>
          <w:p w14:paraId="3F235CE6">
            <w:pPr>
              <w:jc w:val="center"/>
              <w:rPr>
                <w:rFonts w:hint="default" w:ascii="方正仿宋_GBK" w:hAnsi="方正仿宋_GBK" w:eastAsia="方正仿宋_GBK" w:cs="方正仿宋_GBK"/>
                <w:b w:val="0"/>
                <w:bCs w:val="0"/>
                <w:color w:val="000000" w:themeColor="text1"/>
                <w:kern w:val="2"/>
                <w:sz w:val="28"/>
                <w:szCs w:val="28"/>
                <w:highlight w:val="none"/>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highlight w:val="none"/>
                <w:lang w:val="en-US" w:eastAsia="zh-CN" w:bidi="ar-SA"/>
                <w14:textFill>
                  <w14:solidFill>
                    <w14:schemeClr w14:val="tx1"/>
                  </w14:solidFill>
                </w14:textFill>
              </w:rPr>
              <w:t>1</w:t>
            </w:r>
          </w:p>
        </w:tc>
      </w:tr>
    </w:tbl>
    <w:p w14:paraId="550A0A2D">
      <w:pPr>
        <w:pStyle w:val="27"/>
        <w:numPr>
          <w:ilvl w:val="0"/>
          <w:numId w:val="4"/>
        </w:numPr>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技术要求（需全部满足）</w:t>
      </w:r>
    </w:p>
    <w:tbl>
      <w:tblPr>
        <w:tblStyle w:val="14"/>
        <w:tblW w:w="5474"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90"/>
        <w:gridCol w:w="2290"/>
        <w:gridCol w:w="7708"/>
      </w:tblGrid>
      <w:tr w14:paraId="0704CF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66" w:type="pct"/>
            <w:vAlign w:val="center"/>
          </w:tcPr>
          <w:p w14:paraId="2A12B4EE">
            <w:pPr>
              <w:pageBreakBefore w:val="0"/>
              <w:widowControl/>
              <w:kinsoku/>
              <w:wordWrap/>
              <w:overflowPunct/>
              <w:topLinePunct w:val="0"/>
              <w:autoSpaceDE/>
              <w:autoSpaceDN/>
              <w:bidi w:val="0"/>
              <w:adjustRightInd/>
              <w:snapToGrid/>
              <w:spacing w:line="240" w:lineRule="auto"/>
              <w:ind w:firstLine="0" w:firstLineChars="0"/>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rPr>
              <w:t>序号</w:t>
            </w:r>
          </w:p>
        </w:tc>
        <w:tc>
          <w:tcPr>
            <w:tcW w:w="1061" w:type="pct"/>
            <w:vAlign w:val="center"/>
          </w:tcPr>
          <w:p w14:paraId="35A4EED0">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rPr>
            </w:pPr>
            <w:r>
              <w:rPr>
                <w:rFonts w:hint="eastAsia" w:ascii="方正仿宋_GBK" w:hAnsi="方正仿宋_GBK" w:eastAsia="方正仿宋_GBK" w:cs="方正仿宋_GBK"/>
                <w:b/>
                <w:bCs/>
                <w:kern w:val="0"/>
                <w:sz w:val="28"/>
                <w:szCs w:val="28"/>
                <w:highlight w:val="none"/>
              </w:rPr>
              <w:t>名称</w:t>
            </w:r>
          </w:p>
        </w:tc>
        <w:tc>
          <w:tcPr>
            <w:tcW w:w="3572" w:type="pct"/>
            <w:vAlign w:val="center"/>
          </w:tcPr>
          <w:p w14:paraId="4472D0B1">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服务内容</w:t>
            </w:r>
          </w:p>
        </w:tc>
      </w:tr>
      <w:tr w14:paraId="0D602B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83" w:hRule="atLeast"/>
          <w:jc w:val="center"/>
        </w:trPr>
        <w:tc>
          <w:tcPr>
            <w:tcW w:w="366" w:type="pct"/>
            <w:shd w:val="clear" w:color="auto" w:fill="auto"/>
            <w:vAlign w:val="center"/>
          </w:tcPr>
          <w:p w14:paraId="117D9A07">
            <w:pPr>
              <w:pStyle w:val="26"/>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方正仿宋_GBK" w:hAnsi="方正仿宋_GBK" w:eastAsia="方正仿宋_GBK" w:cs="方正仿宋_GBK"/>
                <w:kern w:val="2"/>
                <w:sz w:val="28"/>
                <w:szCs w:val="28"/>
                <w:highlight w:val="none"/>
                <w:lang w:val="en-US" w:eastAsia="zh-CN" w:bidi="ar-SA"/>
              </w:rPr>
            </w:pPr>
            <w:r>
              <w:rPr>
                <w:rFonts w:hint="eastAsia" w:ascii="方正仿宋_GBK" w:hAnsi="方正仿宋_GBK" w:eastAsia="方正仿宋_GBK" w:cs="方正仿宋_GBK"/>
                <w:sz w:val="28"/>
                <w:szCs w:val="28"/>
                <w:highlight w:val="none"/>
                <w:lang w:val="en-US" w:eastAsia="zh-CN"/>
              </w:rPr>
              <w:t>1</w:t>
            </w:r>
          </w:p>
        </w:tc>
        <w:tc>
          <w:tcPr>
            <w:tcW w:w="1061" w:type="pct"/>
            <w:shd w:val="clear" w:color="auto" w:fill="auto"/>
            <w:vAlign w:val="center"/>
          </w:tcPr>
          <w:p w14:paraId="34447689">
            <w:pPr>
              <w:jc w:val="left"/>
              <w:rPr>
                <w:rFonts w:hint="eastAsia"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高通量靶向血浆脂质代谢组学检测</w:t>
            </w:r>
          </w:p>
        </w:tc>
        <w:tc>
          <w:tcPr>
            <w:tcW w:w="3572" w:type="pct"/>
            <w:shd w:val="clear" w:color="auto" w:fill="auto"/>
            <w:vAlign w:val="center"/>
          </w:tcPr>
          <w:p w14:paraId="1C04677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default"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1</w:t>
            </w:r>
            <w:r>
              <w:rPr>
                <w:rFonts w:hint="default" w:ascii="方正仿宋_GBK" w:hAnsi="方正仿宋_GBK" w:eastAsia="方正仿宋_GBK" w:cs="方正仿宋_GBK"/>
                <w:b/>
                <w:bCs/>
                <w:kern w:val="2"/>
                <w:sz w:val="28"/>
                <w:szCs w:val="28"/>
                <w:highlight w:val="none"/>
                <w:lang w:val="en-US" w:eastAsia="zh-CN" w:bidi="ar-SA"/>
              </w:rPr>
              <w:t>.仪器参数：1）双色谱条件：RP液相色谱A相为H2O:ACN:MeOH=1:1:1,v/v/v；B相为异丙醇溶液。通过Kinetex C18 (2.1 mm × 100 mm, 2.6 μm ) 液相色谱柱对目标化合物进行色谱分离。HILIC液相色谱A相为 H2O:ACN=1:1,v/v；B相为 DCM:ACN=1:13,v/v。通过Luna NH2 (Amino) 3μm（2x100 mm, 3 μm）液相色谱柱对目标化合物进行色谱分离。质谱条件：采用MRM 模式监测。</w:t>
            </w:r>
          </w:p>
          <w:p w14:paraId="5F6199D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default"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2</w:t>
            </w:r>
            <w:r>
              <w:rPr>
                <w:rFonts w:hint="default" w:ascii="方正仿宋_GBK" w:hAnsi="方正仿宋_GBK" w:eastAsia="方正仿宋_GBK" w:cs="方正仿宋_GBK"/>
                <w:b/>
                <w:bCs/>
                <w:kern w:val="2"/>
                <w:sz w:val="28"/>
                <w:szCs w:val="28"/>
                <w:highlight w:val="none"/>
                <w:lang w:val="en-US" w:eastAsia="zh-CN" w:bidi="ar-SA"/>
              </w:rPr>
              <w:t>.分析平台：质谱数据采集及目标化合物定量分析工作均通过自动化分析软件来完成。其中定性采用3000+自建数据库，78种同位素内标对每个脂质进行一对一校正，每类脂质均有对应同位素内标。</w:t>
            </w:r>
          </w:p>
          <w:p w14:paraId="52A9531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default" w:ascii="方正仿宋_GBK" w:hAnsi="方正仿宋_GBK" w:eastAsia="方正仿宋_GBK" w:cs="方正仿宋_GBK"/>
                <w:b/>
                <w:bCs/>
                <w:kern w:val="2"/>
                <w:sz w:val="28"/>
                <w:szCs w:val="28"/>
                <w:highlight w:val="none"/>
                <w:lang w:val="en-US" w:eastAsia="zh-CN" w:bidi="ar-SA"/>
              </w:rPr>
            </w:pPr>
            <w:r>
              <w:rPr>
                <w:rFonts w:hint="eastAsia" w:ascii="方正仿宋_GBK" w:hAnsi="方正仿宋_GBK" w:eastAsia="方正仿宋_GBK" w:cs="方正仿宋_GBK"/>
                <w:b/>
                <w:bCs/>
                <w:kern w:val="2"/>
                <w:sz w:val="28"/>
                <w:szCs w:val="28"/>
                <w:highlight w:val="none"/>
                <w:lang w:val="en-US" w:eastAsia="zh-CN" w:bidi="ar-SA"/>
              </w:rPr>
              <w:t>3</w:t>
            </w:r>
            <w:r>
              <w:rPr>
                <w:rFonts w:hint="default" w:ascii="方正仿宋_GBK" w:hAnsi="方正仿宋_GBK" w:eastAsia="方正仿宋_GBK" w:cs="方正仿宋_GBK"/>
                <w:b/>
                <w:bCs/>
                <w:kern w:val="2"/>
                <w:sz w:val="28"/>
                <w:szCs w:val="28"/>
                <w:highlight w:val="none"/>
                <w:lang w:val="en-US" w:eastAsia="zh-CN" w:bidi="ar-SA"/>
              </w:rPr>
              <w:t>.分析内容：数据分析内容包括单变量统计分析、多元变量统计分析、差异代谢物筛选、差异代谢物相关性分析、KEGG 通路分析、ROC分析、脂质链及不饱和度分析、脂质组柱状图分析、脂质组气泡图分析等内容。</w:t>
            </w:r>
          </w:p>
        </w:tc>
      </w:tr>
    </w:tbl>
    <w:p w14:paraId="58CC3E6E">
      <w:pPr>
        <w:pStyle w:val="27"/>
        <w:numPr>
          <w:ilvl w:val="0"/>
          <w:numId w:val="4"/>
        </w:numPr>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商务需求：（需全部满足）</w:t>
      </w:r>
    </w:p>
    <w:p w14:paraId="6C003BDC">
      <w:pPr>
        <w:pStyle w:val="27"/>
        <w:keepNext w:val="0"/>
        <w:keepLines w:val="0"/>
        <w:pageBreakBefore w:val="0"/>
        <w:widowControl/>
        <w:numPr>
          <w:ilvl w:val="0"/>
          <w:numId w:val="0"/>
        </w:numPr>
        <w:kinsoku/>
        <w:wordWrap/>
        <w:overflowPunct/>
        <w:topLinePunct w:val="0"/>
        <w:autoSpaceDE/>
        <w:autoSpaceDN/>
        <w:bidi w:val="0"/>
        <w:adjustRightInd/>
        <w:snapToGrid/>
        <w:ind w:firstLine="640" w:firstLineChars="200"/>
        <w:textAlignment w:val="baseline"/>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eastAsia="zh-CN"/>
        </w:rPr>
        <w:t>（一）</w:t>
      </w:r>
      <w:r>
        <w:rPr>
          <w:rFonts w:hint="eastAsia" w:ascii="方正仿宋_GBK" w:hAnsi="方正仿宋_GBK" w:eastAsia="方正仿宋_GBK" w:cs="方正仿宋_GBK"/>
          <w:b/>
          <w:bCs/>
          <w:color w:val="auto"/>
          <w:kern w:val="0"/>
          <w:sz w:val="32"/>
          <w:szCs w:val="32"/>
          <w:highlight w:val="none"/>
          <w:lang w:val="en-US" w:eastAsia="zh-CN"/>
        </w:rPr>
        <w:t>供应商资格条件</w:t>
      </w:r>
    </w:p>
    <w:p w14:paraId="59EBBDD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16DC44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.具有独立承担民事责任的能力</w:t>
      </w:r>
      <w:r>
        <w:rPr>
          <w:rFonts w:hint="eastAsia" w:ascii="方正仿宋_GBK" w:hAnsi="方正仿宋_GBK" w:eastAsia="方正仿宋_GBK" w:cs="方正仿宋_GBK"/>
          <w:color w:val="auto"/>
          <w:sz w:val="32"/>
          <w:szCs w:val="32"/>
          <w:highlight w:val="none"/>
          <w:lang w:eastAsia="zh-CN"/>
        </w:rPr>
        <w:t>；如公司营业执照（须圈出符合资质要求的经营范围和有效期）；</w:t>
      </w:r>
    </w:p>
    <w:p w14:paraId="43DDD13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具有良好的商业信誉和健全的财务会计制度（提供承诺函）；</w:t>
      </w:r>
    </w:p>
    <w:p w14:paraId="0CF485E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3.具有履行合同所必需的设备和专业技术能力（提供承诺函）；</w:t>
      </w:r>
    </w:p>
    <w:p w14:paraId="0896000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4.有依法缴纳税收和社会保障资金的良好记录（提供承诺函）；</w:t>
      </w:r>
    </w:p>
    <w:p w14:paraId="35DA071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5.参加政府采购活动前三年内，在经营活动中没有重大违法记录（提供承诺函）；</w:t>
      </w:r>
    </w:p>
    <w:p w14:paraId="4A06466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43F13B6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特定资格条件</w:t>
      </w:r>
      <w:r>
        <w:rPr>
          <w:rFonts w:hint="eastAsia" w:ascii="方正仿宋_GBK" w:hAnsi="方正仿宋_GBK" w:eastAsia="方正仿宋_GBK" w:cs="方正仿宋_GBK"/>
          <w:color w:val="auto"/>
          <w:sz w:val="32"/>
          <w:szCs w:val="32"/>
          <w:highlight w:val="none"/>
          <w:lang w:eastAsia="zh-CN"/>
        </w:rPr>
        <w:t>：</w:t>
      </w:r>
    </w:p>
    <w:p w14:paraId="63D8596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1.供应商具备ISO9001质量管理体系认证，CMA检验检测机构资质证定。</w:t>
      </w:r>
    </w:p>
    <w:p w14:paraId="6DA2A95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2.供应商拥有自主的质谱平台，超高效液相双色谱柱分离检测技术，具备自主代谢物提取，质谱测序等实验条件；拥有独立的研发与分析团队，具备提供详细测序方案以及提供个性化分析的能力。</w:t>
      </w:r>
    </w:p>
    <w:p w14:paraId="09EF4F8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3.供应商应具备符合《中华人民共和国生物安全法》要求的相关资质。</w:t>
      </w:r>
    </w:p>
    <w:p w14:paraId="5CB19C8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b w:val="0"/>
          <w:bCs w:val="0"/>
          <w:color w:val="auto"/>
          <w:kern w:val="0"/>
          <w:sz w:val="32"/>
          <w:szCs w:val="32"/>
          <w:highlight w:val="none"/>
          <w:lang w:val="en-US" w:eastAsia="zh-CN"/>
        </w:rPr>
      </w:pPr>
      <w:r>
        <w:rPr>
          <w:rFonts w:hint="default" w:ascii="方正仿宋_GBK" w:hAnsi="方正仿宋_GBK" w:eastAsia="方正仿宋_GBK" w:cs="方正仿宋_GBK"/>
          <w:b w:val="0"/>
          <w:bCs w:val="0"/>
          <w:color w:val="auto"/>
          <w:kern w:val="0"/>
          <w:sz w:val="32"/>
          <w:szCs w:val="32"/>
          <w:highlight w:val="none"/>
          <w:lang w:val="en-US" w:eastAsia="zh-CN"/>
        </w:rPr>
        <w:t>4.其他法律法规有关规范。</w:t>
      </w:r>
    </w:p>
    <w:p w14:paraId="6C6BF728">
      <w:pPr>
        <w:keepNext w:val="0"/>
        <w:keepLines w:val="0"/>
        <w:pageBreakBefore w:val="0"/>
        <w:widowControl w:val="0"/>
        <w:kinsoku/>
        <w:wordWrap/>
        <w:overflowPunct/>
        <w:topLinePunct w:val="0"/>
        <w:autoSpaceDE/>
        <w:autoSpaceDN/>
        <w:bidi w:val="0"/>
        <w:adjustRightInd/>
        <w:spacing w:line="6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（二）报价要求</w:t>
      </w:r>
    </w:p>
    <w:p w14:paraId="2AE848A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本项目最高限价50000元。报价要求：本次报价采用总价进行报价，包括但不限于项目检测服务费、样本运输保存销毁、配套设备辅材费、资料装订及邮寄费、税费、保险费、保密费、验收检测费等完成本项目所需的一切费用。因成交供应商自身原因造成漏报、少报皆由其自行承担责任，采购人不再补偿。供应商报送总价不得超过采购人要求，否则视为无效报价。服务期间发生的安全责任事故由供应商自行承担。</w:t>
      </w:r>
    </w:p>
    <w:p w14:paraId="16E1FAE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（三）合同签订及服务期限</w:t>
      </w:r>
    </w:p>
    <w:p w14:paraId="4A4CEAE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本项目合同期1年，成交供应商在接到成交通知后20日内与采购人签订采购合同和廉政购销协议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308FBFAC">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自中选后，接到采购人取样通知后3个工作日内取走样本，样本送达供应商核对无误且采购方确认启动项目次日开始计数周期，最迟第15个工作日以电子邮件方式交付原始数据及初始统计分析报告（供应商运输、储存、销毁样本应符合《中华人民共和国生物安全法》相关要求）。后续根据采购人要求提供个性化数据分析，最长1年时间完成项目所有服务内容并交付分析数据。</w:t>
      </w:r>
    </w:p>
    <w:p w14:paraId="2AE5A11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（四）付款方式</w:t>
      </w:r>
    </w:p>
    <w:p w14:paraId="2239A2A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b w:val="0"/>
          <w:bCs w:val="0"/>
          <w:color w:val="auto"/>
          <w:kern w:val="0"/>
          <w:sz w:val="32"/>
          <w:szCs w:val="32"/>
          <w:highlight w:val="none"/>
          <w:lang w:val="en-US" w:eastAsia="zh-CN"/>
        </w:rPr>
        <w:t>验收合格后，供应商提供验收记录、发票等资料，采购人全额支付。</w:t>
      </w:r>
      <w:r>
        <w:rPr>
          <w:rFonts w:hint="eastAsia" w:ascii="方正仿宋_GBK" w:hAnsi="方正仿宋_GBK" w:eastAsia="方正仿宋_GBK" w:cs="方正仿宋_GBK"/>
          <w:sz w:val="32"/>
          <w:szCs w:val="32"/>
          <w:highlight w:val="none"/>
        </w:rPr>
        <w:t>合作期间项目数量有</w:t>
      </w:r>
      <w:r>
        <w:rPr>
          <w:rFonts w:hint="eastAsia" w:ascii="方正仿宋_GBK" w:hAnsi="方正仿宋_GBK" w:eastAsia="方正仿宋_GBK" w:cs="方正仿宋_GBK"/>
          <w:sz w:val="32"/>
          <w:szCs w:val="32"/>
          <w:highlight w:val="none"/>
          <w:lang w:eastAsia="zh-CN"/>
        </w:rPr>
        <w:t>减少</w:t>
      </w:r>
      <w:r>
        <w:rPr>
          <w:rFonts w:hint="eastAsia" w:ascii="方正仿宋_GBK" w:hAnsi="方正仿宋_GBK" w:eastAsia="方正仿宋_GBK" w:cs="方正仿宋_GBK"/>
          <w:sz w:val="32"/>
          <w:szCs w:val="32"/>
          <w:highlight w:val="none"/>
        </w:rPr>
        <w:t>，按供应商分项报价据实结算。</w:t>
      </w:r>
    </w:p>
    <w:p w14:paraId="15EB734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（五）验收方式</w:t>
      </w:r>
    </w:p>
    <w:p w14:paraId="0711BD8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0"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按照采购招投标文件及服务效果考核要求逐项验收，</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验收产生争议或验收后第三方对数据产生合理质疑</w:t>
      </w:r>
      <w:r>
        <w:rPr>
          <w:rFonts w:hint="eastAsia" w:ascii="方正仿宋_GBK" w:hAnsi="方正仿宋_GBK" w:eastAsia="方正仿宋_GBK" w:cs="方正仿宋_GBK"/>
          <w:b w:val="0"/>
          <w:bCs w:val="0"/>
          <w:color w:val="auto"/>
          <w:kern w:val="0"/>
          <w:sz w:val="32"/>
          <w:szCs w:val="32"/>
          <w:highlight w:val="none"/>
          <w:lang w:val="en-US" w:eastAsia="zh-CN"/>
        </w:rPr>
        <w:t>由采购人邀请第三方机构检测，费用由供应商承担。</w:t>
      </w:r>
    </w:p>
    <w:p w14:paraId="4B24AFD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（六）服务效果考核标准</w:t>
      </w:r>
    </w:p>
    <w:p w14:paraId="2FB3631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质控标准：</w:t>
      </w:r>
    </w:p>
    <w:p w14:paraId="79773E4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（1）QC保留时间（RT)偏差±12S以内。</w:t>
      </w:r>
    </w:p>
    <w:p w14:paraId="62EC89B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（2）QC样本相关性大于0.8。</w:t>
      </w:r>
    </w:p>
    <w:p w14:paraId="00B02FA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 xml:space="preserve">（3）QC样品中内标峰面积RSD ≤20%。   </w:t>
      </w:r>
    </w:p>
    <w:p w14:paraId="3104B130">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（七）知识产权</w:t>
      </w:r>
    </w:p>
    <w:p w14:paraId="6A57361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采购人在中华人民共和国境内使用成交供应商提供的产品或服务内容时免受第三方提出的侵犯其专利权或其它知识产权的起诉。如果第三方提出侵权指控，成交供应商应承担由此而引起的一切法律责任和费用。本项目完成后的数据归采购人所有，未经采购人许可不得泄漏给第三方。</w:t>
      </w:r>
    </w:p>
    <w:p w14:paraId="4025A653">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（八）配套服务</w:t>
      </w:r>
    </w:p>
    <w:p w14:paraId="7C840B2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（1）电话咨询</w:t>
      </w:r>
    </w:p>
    <w:p w14:paraId="62FF383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成交供应商应当为采购人提供技术援助电话，在30分钟内响应解答采购人在使用中遇到的问题，及时为采购人提出解决问题的建议。</w:t>
      </w:r>
    </w:p>
    <w:p w14:paraId="3F5CE77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（2）保密要求</w:t>
      </w:r>
    </w:p>
    <w:p w14:paraId="20D3872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 xml:space="preserve"> 未经采购人允许，不得将服务内容提供给第三方。</w:t>
      </w:r>
    </w:p>
    <w:p w14:paraId="4776B67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（3）数据溯源</w:t>
      </w:r>
    </w:p>
    <w:p w14:paraId="20C02A3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 xml:space="preserve"> 任何时候，采购人或第三方对数据真实性提出质疑时，供应商应提供客观检测措施对数据结果进行溯源。</w:t>
      </w:r>
    </w:p>
    <w:p w14:paraId="3019787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（九）违约责任</w:t>
      </w:r>
    </w:p>
    <w:p w14:paraId="75709EE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供应商未按采购人要求时限交付服务内容，每延迟1日，供应商应向采购人支付合同总金额千分之三的违约金，超过30日未能交付，采购人有权单方面解除合同，并要求供应商承担合同总金额30%的违约金；项目验收不合格或使用中发现服务质量缺陷，采购人有权要求供应商整改，整改期限为10日，整改期限届满仍未完成的供应商每日支付合同总金额千分之三的违约金，超过20日未能完成整改，</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采购人有权解除合同，并要求供应商承担合同总金额30%的违约金，已经付款的供应商应全款退还采购人已经支付的款项</w:t>
      </w:r>
      <w:r>
        <w:rPr>
          <w:rFonts w:hint="eastAsia" w:ascii="方正仿宋_GBK" w:hAnsi="方正仿宋_GBK" w:eastAsia="方正仿宋_GBK" w:cs="方正仿宋_GBK"/>
          <w:color w:val="auto"/>
          <w:sz w:val="32"/>
          <w:szCs w:val="32"/>
          <w:highlight w:val="none"/>
          <w:lang w:val="en-US" w:eastAsia="zh-CN"/>
        </w:rPr>
        <w:t>；未按配套服务要求提供服务的，供应商将承担200元/次的违约金。</w:t>
      </w:r>
    </w:p>
    <w:p w14:paraId="3810BCD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①供应商提供虚假书面材料的(如:资质文件、合格证明等);②供应商未遵守《廉洁购销合同》相关条款的;③合同有效期内,未经采购人同意,供应商擅自变更公司名称的;④供应商相关资质文件未处于有效期内的(如:营业执照、许可证、授权委托书等);⑤供应商提供的服务或产品与合同约定或响应文件载明内容不一致的;⑥一个年度供应商连续发生5次违约行为或</w:t>
      </w:r>
      <w:r>
        <w:rPr>
          <w:rFonts w:hint="eastAsia" w:ascii="方正仿宋_GBK" w:hAnsi="方正仿宋_GBK" w:eastAsia="方正仿宋_GBK" w:cs="方正仿宋_GBK"/>
          <w:b w:val="0"/>
          <w:bCs w:val="0"/>
          <w:color w:val="auto"/>
          <w:kern w:val="0"/>
          <w:sz w:val="32"/>
          <w:szCs w:val="32"/>
          <w:highlight w:val="none"/>
          <w:lang w:val="en-US" w:eastAsia="zh-CN"/>
        </w:rPr>
        <w:t>合同周期内供应商出现2次及以上违约行为的</w:t>
      </w:r>
      <w:r>
        <w:rPr>
          <w:rFonts w:hint="eastAsia" w:ascii="方正仿宋_GBK" w:hAnsi="方正仿宋_GBK" w:eastAsia="方正仿宋_GBK" w:cs="方正仿宋_GBK"/>
          <w:color w:val="auto"/>
          <w:kern w:val="0"/>
          <w:sz w:val="32"/>
          <w:szCs w:val="32"/>
          <w:highlight w:val="none"/>
          <w:lang w:val="en-US" w:eastAsia="zh-CN"/>
        </w:rPr>
        <w:t>;⑦供应商及其服务发生泄漏采购人数据及患者隐私的，采购人有权解除合同并要求供应商返还已支付款项并承担合同金额1倍的违约金;⑧使用中发现存在质量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47DA5D9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 xml:space="preserve">因供应商及其提供的服务原因引发纠纷、造成采购人损失、受到处罚的（如供应商拒绝履约、在提供服务过程中损害采购人利益、供应商违纪违法行为、供应商检测内容虚假、数据分析错误、泄露检测数据或患者隐私等情况），供应商应赔偿对采购人造成的直接和间接损失全额损失及承担相应法律责任。合同履行期间发生争议，协商无果由重庆市璧山区人民法院裁决。 </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（十）合同终止情形</w:t>
      </w:r>
    </w:p>
    <w:p w14:paraId="2EDACF8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出现不良事件；合同周期内供应商出现2次及以上违约行为；供应商廉洁违纪行为；供应商主动放弃等。</w:t>
      </w:r>
    </w:p>
    <w:p w14:paraId="3B6FEF05">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（十一）中选标准</w:t>
      </w:r>
    </w:p>
    <w:p w14:paraId="33FF5D5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在满足本项目技术和商务要求的前提下，采用最低评标价法评选。如超出投标报价、未在规定的时间内上交资料及资料不齐全的为无效报价。</w:t>
      </w:r>
    </w:p>
    <w:p w14:paraId="4E77F22F">
      <w:pPr>
        <w:keepNext w:val="0"/>
        <w:keepLines w:val="0"/>
        <w:pageBreakBefore w:val="0"/>
        <w:widowControl w:val="0"/>
        <w:kinsoku/>
        <w:wordWrap/>
        <w:overflowPunct/>
        <w:topLinePunct w:val="0"/>
        <w:autoSpaceDE/>
        <w:autoSpaceDN/>
        <w:bidi w:val="0"/>
        <w:adjustRightInd/>
        <w:snapToGrid w:val="0"/>
        <w:spacing w:line="500" w:lineRule="exact"/>
        <w:ind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（十二）其他要求</w:t>
      </w:r>
    </w:p>
    <w:p w14:paraId="2DEABB2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费将由成交供应商承担；（4）成交供应商未在规定时间内签订合同、拒绝签订履行采购合同或质保期响应不及时等影响采购人正常工作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D411DF">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3ED36B">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2ED97C4B">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75304A07">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目录（有页码，方便采购人查询对应资料所在位置，否则为无效响应）</w:t>
      </w:r>
    </w:p>
    <w:p w14:paraId="23CA0580">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309064C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35CDA14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9C1C8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5.报价表及分项明细表</w:t>
      </w:r>
    </w:p>
    <w:p w14:paraId="0092CEE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0E5557A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3474E34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8.本项目其他采购人的业绩资料</w:t>
      </w:r>
    </w:p>
    <w:p w14:paraId="7102C76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19101A3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10.投标服务相关资料</w:t>
      </w:r>
    </w:p>
    <w:p w14:paraId="2DEF887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11.配套服务承诺</w:t>
      </w:r>
    </w:p>
    <w:p w14:paraId="51AAF05E">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12.项目服务方案（应具体到样本接收运输管理、检测进度计划、项目阶段性沟通、人员设备安排、保密措施等）</w:t>
      </w:r>
    </w:p>
    <w:p w14:paraId="3D41F62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13</w:t>
      </w:r>
      <w:r>
        <w:rPr>
          <w:rFonts w:hint="eastAsia" w:ascii="仿宋_GB2312" w:hAnsi="宋体" w:eastAsia="仿宋_GB2312" w:cs="宋体"/>
          <w:kern w:val="2"/>
          <w:sz w:val="32"/>
          <w:szCs w:val="32"/>
          <w:highlight w:val="none"/>
          <w:lang w:val="en-US" w:eastAsia="zh-CN" w:bidi="ar-SA"/>
        </w:rPr>
        <w:t>.投标廉政承诺书</w:t>
      </w:r>
    </w:p>
    <w:p w14:paraId="1C913CAD">
      <w:pPr>
        <w:rPr>
          <w:rFonts w:hint="eastAsia"/>
          <w:highlight w:val="none"/>
          <w:lang w:val="en-US" w:eastAsia="zh-CN"/>
        </w:rPr>
      </w:pPr>
    </w:p>
    <w:p w14:paraId="251F0151">
      <w:pPr>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2D15061B">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791B6925">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3CAC701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p>
    <w:p w14:paraId="46D0A4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4B2BD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1BC58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AF8B6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1108F8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6726A6C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7C0031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1.供应商具备ISO9001质量管理体系认证，CMA检验检测机构资质证定。</w:t>
      </w:r>
    </w:p>
    <w:p w14:paraId="5838B7B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2.供应商拥有自主的质谱平台，超高效液相双色谱柱分离检测技术，具备自主代谢物提取，质谱测序等实验条件；拥有独立的研发与分析团队，具备提供详细测序方案以及提供个性化分析的能力。</w:t>
      </w:r>
    </w:p>
    <w:p w14:paraId="51F8B85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3.供应商应具备</w:t>
      </w:r>
      <w:bookmarkStart w:id="7" w:name="_GoBack"/>
      <w:bookmarkEnd w:id="7"/>
      <w:r>
        <w:rPr>
          <w:rFonts w:hint="eastAsia" w:ascii="方正仿宋_GBK" w:hAnsi="方正仿宋_GBK" w:eastAsia="方正仿宋_GBK" w:cs="方正仿宋_GBK"/>
          <w:color w:val="auto"/>
          <w:sz w:val="32"/>
          <w:szCs w:val="32"/>
          <w:highlight w:val="none"/>
          <w:lang w:val="en-US" w:eastAsia="zh-CN"/>
        </w:rPr>
        <w:t>符合《中华人民共和国生物安全法》要求的相关资质。</w:t>
      </w:r>
    </w:p>
    <w:p w14:paraId="79FFE84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b w:val="0"/>
          <w:bCs w:val="0"/>
          <w:color w:val="auto"/>
          <w:kern w:val="0"/>
          <w:sz w:val="32"/>
          <w:szCs w:val="32"/>
          <w:highlight w:val="none"/>
          <w:lang w:val="en-US" w:eastAsia="zh-CN"/>
        </w:rPr>
      </w:pPr>
      <w:r>
        <w:rPr>
          <w:rFonts w:hint="default" w:ascii="方正仿宋_GBK" w:hAnsi="方正仿宋_GBK" w:eastAsia="方正仿宋_GBK" w:cs="方正仿宋_GBK"/>
          <w:color w:val="auto"/>
          <w:sz w:val="32"/>
          <w:szCs w:val="32"/>
          <w:highlight w:val="none"/>
          <w:lang w:val="en-US" w:eastAsia="zh-CN"/>
        </w:rPr>
        <w:t>4.其他法律法规有关</w:t>
      </w:r>
      <w:r>
        <w:rPr>
          <w:rFonts w:hint="default" w:ascii="方正仿宋_GBK" w:hAnsi="方正仿宋_GBK" w:eastAsia="方正仿宋_GBK" w:cs="方正仿宋_GBK"/>
          <w:b w:val="0"/>
          <w:bCs w:val="0"/>
          <w:color w:val="auto"/>
          <w:kern w:val="0"/>
          <w:sz w:val="32"/>
          <w:szCs w:val="32"/>
          <w:highlight w:val="none"/>
          <w:lang w:val="en-US" w:eastAsia="zh-CN"/>
        </w:rPr>
        <w:t>规范。</w:t>
      </w:r>
    </w:p>
    <w:p w14:paraId="260C2407">
      <w:pPr>
        <w:ind w:firstLine="843" w:firstLineChars="300"/>
        <w:rPr>
          <w:rFonts w:hint="eastAsia" w:ascii="仿宋" w:hAnsi="仿宋" w:eastAsia="仿宋" w:cs="仿宋"/>
          <w:b/>
          <w:bCs/>
          <w:color w:val="auto"/>
          <w:sz w:val="28"/>
          <w:szCs w:val="21"/>
          <w:highlight w:val="none"/>
          <w:lang w:val="en-US" w:eastAsia="zh-CN"/>
        </w:rPr>
      </w:pPr>
    </w:p>
    <w:p w14:paraId="4FC48D5C">
      <w:pPr>
        <w:ind w:firstLine="843" w:firstLineChars="300"/>
        <w:rPr>
          <w:rFonts w:hint="eastAsia" w:ascii="仿宋" w:hAnsi="仿宋" w:eastAsia="仿宋" w:cs="仿宋"/>
          <w:b/>
          <w:bCs/>
          <w:color w:val="auto"/>
          <w:sz w:val="28"/>
          <w:szCs w:val="21"/>
          <w:highlight w:val="none"/>
          <w:lang w:val="en-US" w:eastAsia="zh-CN"/>
        </w:rPr>
      </w:pPr>
    </w:p>
    <w:p w14:paraId="113BF43F">
      <w:pPr>
        <w:ind w:firstLine="843" w:firstLineChars="300"/>
        <w:rPr>
          <w:rFonts w:hint="eastAsia" w:ascii="仿宋" w:hAnsi="仿宋" w:eastAsia="仿宋" w:cs="仿宋"/>
          <w:b/>
          <w:bCs/>
          <w:color w:val="auto"/>
          <w:sz w:val="28"/>
          <w:szCs w:val="21"/>
          <w:highlight w:val="none"/>
          <w:lang w:val="en-US" w:eastAsia="zh-CN"/>
        </w:rPr>
      </w:pPr>
    </w:p>
    <w:p w14:paraId="2321D981">
      <w:pPr>
        <w:ind w:firstLine="843" w:firstLineChars="300"/>
        <w:rPr>
          <w:rFonts w:hint="eastAsia" w:ascii="仿宋" w:hAnsi="仿宋" w:eastAsia="仿宋" w:cs="仿宋"/>
          <w:b/>
          <w:bCs/>
          <w:color w:val="auto"/>
          <w:sz w:val="28"/>
          <w:szCs w:val="21"/>
          <w:highlight w:val="none"/>
          <w:lang w:val="en-US" w:eastAsia="zh-CN"/>
        </w:rPr>
      </w:pPr>
    </w:p>
    <w:p w14:paraId="243191DA">
      <w:pPr>
        <w:ind w:firstLine="843" w:firstLineChars="300"/>
        <w:rPr>
          <w:rFonts w:hint="eastAsia" w:ascii="仿宋" w:hAnsi="仿宋" w:eastAsia="仿宋" w:cs="仿宋"/>
          <w:b/>
          <w:bCs/>
          <w:color w:val="auto"/>
          <w:sz w:val="28"/>
          <w:szCs w:val="21"/>
          <w:highlight w:val="none"/>
          <w:lang w:val="en-US" w:eastAsia="zh-CN"/>
        </w:rPr>
      </w:pPr>
    </w:p>
    <w:p w14:paraId="4AF96057">
      <w:pPr>
        <w:ind w:firstLine="843" w:firstLineChars="300"/>
        <w:rPr>
          <w:rFonts w:hint="eastAsia" w:ascii="仿宋" w:hAnsi="仿宋" w:eastAsia="仿宋" w:cs="仿宋"/>
          <w:b/>
          <w:bCs/>
          <w:color w:val="auto"/>
          <w:sz w:val="28"/>
          <w:szCs w:val="21"/>
          <w:highlight w:val="none"/>
          <w:lang w:val="en-US" w:eastAsia="zh-CN"/>
        </w:rPr>
      </w:pPr>
    </w:p>
    <w:p w14:paraId="3E07AD1C">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213119B7">
      <w:pPr>
        <w:jc w:val="center"/>
        <w:rPr>
          <w:rFonts w:ascii="方正小标宋_GBK" w:hAnsi="方正小标宋_GBK" w:eastAsia="方正小标宋_GBK" w:cs="方正小标宋_GBK"/>
          <w:sz w:val="40"/>
          <w:szCs w:val="40"/>
          <w:highlight w:val="none"/>
        </w:rPr>
      </w:pPr>
    </w:p>
    <w:p w14:paraId="601E886E">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6F047435">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6FCA860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54BD5D8A">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55C020A6">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9087C90">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EBFF1D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751BB740">
      <w:pPr>
        <w:ind w:firstLine="600" w:firstLineChars="200"/>
        <w:rPr>
          <w:rFonts w:ascii="微软雅黑" w:hAnsi="微软雅黑" w:eastAsia="微软雅黑" w:cs="微软雅黑"/>
          <w:sz w:val="30"/>
          <w:szCs w:val="30"/>
          <w:highlight w:val="none"/>
        </w:rPr>
      </w:pPr>
    </w:p>
    <w:p w14:paraId="0AD837F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69842051">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146F797E">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00703544">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288891FA">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5DFB0CEB">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2B259131">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451744BB">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1EA5FAE2">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050C3B1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41050B5F">
      <w:pPr>
        <w:spacing w:line="594" w:lineRule="exact"/>
        <w:ind w:firstLine="600" w:firstLineChars="200"/>
        <w:rPr>
          <w:rFonts w:hint="eastAsia" w:ascii="微软雅黑" w:hAnsi="微软雅黑" w:eastAsia="微软雅黑"/>
          <w:sz w:val="30"/>
          <w:szCs w:val="30"/>
          <w:highlight w:val="none"/>
        </w:rPr>
      </w:pPr>
    </w:p>
    <w:p w14:paraId="01380D8A">
      <w:pPr>
        <w:spacing w:line="594" w:lineRule="exact"/>
        <w:ind w:firstLine="600" w:firstLineChars="200"/>
        <w:rPr>
          <w:rFonts w:hint="eastAsia" w:ascii="微软雅黑" w:hAnsi="微软雅黑" w:eastAsia="微软雅黑"/>
          <w:sz w:val="30"/>
          <w:szCs w:val="30"/>
          <w:highlight w:val="none"/>
        </w:rPr>
      </w:pPr>
    </w:p>
    <w:p w14:paraId="32744D71">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57EA1D79">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39739773">
      <w:pPr>
        <w:spacing w:line="594" w:lineRule="exact"/>
        <w:ind w:firstLine="640" w:firstLineChars="200"/>
        <w:rPr>
          <w:rFonts w:hint="eastAsia" w:ascii="方正仿宋_GBK" w:eastAsia="方正仿宋_GBK"/>
          <w:sz w:val="32"/>
          <w:szCs w:val="32"/>
          <w:highlight w:val="none"/>
        </w:rPr>
      </w:pPr>
    </w:p>
    <w:p w14:paraId="3B7E87CA">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1CE8A15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56196472"/>
      <w:bookmarkStart w:id="1" w:name="_Toc173677399"/>
      <w:bookmarkStart w:id="2" w:name="_Toc128229747"/>
      <w:bookmarkStart w:id="3" w:name="_Toc237057793"/>
      <w:bookmarkStart w:id="4" w:name="_Toc128014297"/>
      <w:bookmarkStart w:id="5" w:name="_Toc175017344"/>
      <w:bookmarkStart w:id="6" w:name="_Toc128229304"/>
    </w:p>
    <w:p w14:paraId="6EB84F7D">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357D3E5D">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7A48D29C">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56ABD848">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2495EC56">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122F034D">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5D9D1146">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45D1CB8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7B5E057">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0D96AF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4927ED30">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27E56725">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2037A0A5">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26D0500E">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6ABAE5B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83BA3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7D227DB6">
      <w:pPr>
        <w:rPr>
          <w:rFonts w:hint="eastAsia" w:ascii="仿宋_GB2312" w:hAnsi="Arial" w:eastAsia="仿宋_GB2312" w:cstheme="minorBidi"/>
          <w:b/>
          <w:color w:val="auto"/>
          <w:kern w:val="2"/>
          <w:sz w:val="28"/>
          <w:szCs w:val="28"/>
          <w:highlight w:val="none"/>
          <w:lang w:val="en-US" w:eastAsia="zh-CN" w:bidi="ar-SA"/>
        </w:rPr>
      </w:pPr>
    </w:p>
    <w:p w14:paraId="13835B1E">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4F53372E">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191ED7A7">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00528B2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3C374A06">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5783D7DD">
      <w:pPr>
        <w:pStyle w:val="9"/>
        <w:numPr>
          <w:ilvl w:val="0"/>
          <w:numId w:val="0"/>
        </w:numPr>
        <w:jc w:val="both"/>
        <w:rPr>
          <w:rFonts w:hint="default"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1．愿意按照询价采购文件中的一切要求，提供本项目的服务，报价为人民币大写：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元整（附分项明细表）。</w:t>
      </w:r>
    </w:p>
    <w:p w14:paraId="3785074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2．我方现提交的响应文件为：加盖鲜章纸质件。</w:t>
      </w:r>
    </w:p>
    <w:p w14:paraId="6A941D76">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563B1181">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0AA51016">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5B816A62">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5FC7697">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26209957">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6F776DF6">
      <w:p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br w:type="page"/>
      </w:r>
    </w:p>
    <w:p w14:paraId="43FD3335">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4"/>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2356"/>
        <w:gridCol w:w="1065"/>
        <w:gridCol w:w="2249"/>
        <w:gridCol w:w="1275"/>
      </w:tblGrid>
      <w:tr w14:paraId="666F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365EA2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0A581655">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2356" w:type="dxa"/>
            <w:noWrap w:val="0"/>
            <w:vAlign w:val="center"/>
          </w:tcPr>
          <w:p w14:paraId="29DA5BF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065" w:type="dxa"/>
            <w:noWrap w:val="0"/>
            <w:vAlign w:val="center"/>
          </w:tcPr>
          <w:p w14:paraId="0D80379C">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2F4AF800">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6FB48179">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564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E4F6ED">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6BC315E6">
            <w:pPr>
              <w:spacing w:line="300" w:lineRule="exact"/>
              <w:rPr>
                <w:rFonts w:ascii="微软雅黑" w:hAnsi="微软雅黑" w:eastAsia="微软雅黑" w:cs="微软雅黑"/>
                <w:sz w:val="24"/>
                <w:szCs w:val="24"/>
                <w:highlight w:val="none"/>
              </w:rPr>
            </w:pPr>
          </w:p>
        </w:tc>
        <w:tc>
          <w:tcPr>
            <w:tcW w:w="2356" w:type="dxa"/>
            <w:noWrap w:val="0"/>
            <w:vAlign w:val="top"/>
          </w:tcPr>
          <w:p w14:paraId="764B2900">
            <w:pPr>
              <w:spacing w:line="300" w:lineRule="exact"/>
              <w:rPr>
                <w:rFonts w:ascii="微软雅黑" w:hAnsi="微软雅黑" w:eastAsia="微软雅黑" w:cs="微软雅黑"/>
                <w:sz w:val="24"/>
                <w:szCs w:val="24"/>
                <w:highlight w:val="none"/>
              </w:rPr>
            </w:pPr>
          </w:p>
        </w:tc>
        <w:tc>
          <w:tcPr>
            <w:tcW w:w="1065" w:type="dxa"/>
            <w:noWrap w:val="0"/>
            <w:vAlign w:val="top"/>
          </w:tcPr>
          <w:p w14:paraId="1EF8BF9F">
            <w:pPr>
              <w:spacing w:line="300" w:lineRule="exact"/>
              <w:rPr>
                <w:rFonts w:ascii="微软雅黑" w:hAnsi="微软雅黑" w:eastAsia="微软雅黑" w:cs="微软雅黑"/>
                <w:sz w:val="24"/>
                <w:szCs w:val="24"/>
                <w:highlight w:val="none"/>
              </w:rPr>
            </w:pPr>
          </w:p>
        </w:tc>
        <w:tc>
          <w:tcPr>
            <w:tcW w:w="2249" w:type="dxa"/>
            <w:noWrap w:val="0"/>
            <w:vAlign w:val="top"/>
          </w:tcPr>
          <w:p w14:paraId="3F2A513E">
            <w:pPr>
              <w:spacing w:line="300" w:lineRule="exact"/>
              <w:rPr>
                <w:rFonts w:ascii="微软雅黑" w:hAnsi="微软雅黑" w:eastAsia="微软雅黑" w:cs="微软雅黑"/>
                <w:sz w:val="24"/>
                <w:szCs w:val="24"/>
                <w:highlight w:val="none"/>
              </w:rPr>
            </w:pPr>
          </w:p>
        </w:tc>
        <w:tc>
          <w:tcPr>
            <w:tcW w:w="1275" w:type="dxa"/>
            <w:noWrap w:val="0"/>
            <w:vAlign w:val="top"/>
          </w:tcPr>
          <w:p w14:paraId="5F705A3A">
            <w:pPr>
              <w:spacing w:line="300" w:lineRule="exact"/>
              <w:rPr>
                <w:rFonts w:ascii="微软雅黑" w:hAnsi="微软雅黑" w:eastAsia="微软雅黑" w:cs="微软雅黑"/>
                <w:sz w:val="24"/>
                <w:szCs w:val="24"/>
                <w:highlight w:val="none"/>
              </w:rPr>
            </w:pPr>
          </w:p>
        </w:tc>
      </w:tr>
      <w:tr w14:paraId="6F7C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CEE18EB">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7E61EDAE">
            <w:pPr>
              <w:spacing w:line="300" w:lineRule="exact"/>
              <w:rPr>
                <w:rFonts w:ascii="微软雅黑" w:hAnsi="微软雅黑" w:eastAsia="微软雅黑" w:cs="微软雅黑"/>
                <w:sz w:val="24"/>
                <w:szCs w:val="24"/>
                <w:highlight w:val="none"/>
              </w:rPr>
            </w:pPr>
          </w:p>
        </w:tc>
        <w:tc>
          <w:tcPr>
            <w:tcW w:w="2356" w:type="dxa"/>
            <w:noWrap w:val="0"/>
            <w:vAlign w:val="top"/>
          </w:tcPr>
          <w:p w14:paraId="49AAE716">
            <w:pPr>
              <w:spacing w:line="300" w:lineRule="exact"/>
              <w:rPr>
                <w:rFonts w:ascii="微软雅黑" w:hAnsi="微软雅黑" w:eastAsia="微软雅黑" w:cs="微软雅黑"/>
                <w:sz w:val="24"/>
                <w:szCs w:val="24"/>
                <w:highlight w:val="none"/>
              </w:rPr>
            </w:pPr>
          </w:p>
        </w:tc>
        <w:tc>
          <w:tcPr>
            <w:tcW w:w="1065" w:type="dxa"/>
            <w:noWrap w:val="0"/>
            <w:vAlign w:val="top"/>
          </w:tcPr>
          <w:p w14:paraId="0C02AD95">
            <w:pPr>
              <w:spacing w:line="300" w:lineRule="exact"/>
              <w:rPr>
                <w:rFonts w:ascii="微软雅黑" w:hAnsi="微软雅黑" w:eastAsia="微软雅黑" w:cs="微软雅黑"/>
                <w:sz w:val="24"/>
                <w:szCs w:val="24"/>
                <w:highlight w:val="none"/>
              </w:rPr>
            </w:pPr>
          </w:p>
        </w:tc>
        <w:tc>
          <w:tcPr>
            <w:tcW w:w="2249" w:type="dxa"/>
            <w:noWrap w:val="0"/>
            <w:vAlign w:val="top"/>
          </w:tcPr>
          <w:p w14:paraId="37B6C834">
            <w:pPr>
              <w:spacing w:line="300" w:lineRule="exact"/>
              <w:rPr>
                <w:rFonts w:ascii="微软雅黑" w:hAnsi="微软雅黑" w:eastAsia="微软雅黑" w:cs="微软雅黑"/>
                <w:sz w:val="24"/>
                <w:szCs w:val="24"/>
                <w:highlight w:val="none"/>
              </w:rPr>
            </w:pPr>
          </w:p>
        </w:tc>
        <w:tc>
          <w:tcPr>
            <w:tcW w:w="1275" w:type="dxa"/>
            <w:noWrap w:val="0"/>
            <w:vAlign w:val="top"/>
          </w:tcPr>
          <w:p w14:paraId="498FFDA5">
            <w:pPr>
              <w:spacing w:line="300" w:lineRule="exact"/>
              <w:rPr>
                <w:rFonts w:ascii="微软雅黑" w:hAnsi="微软雅黑" w:eastAsia="微软雅黑" w:cs="微软雅黑"/>
                <w:sz w:val="24"/>
                <w:szCs w:val="24"/>
                <w:highlight w:val="none"/>
              </w:rPr>
            </w:pPr>
          </w:p>
        </w:tc>
      </w:tr>
      <w:tr w14:paraId="1FC1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F102AEF">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5405905E">
            <w:pPr>
              <w:spacing w:line="300" w:lineRule="exact"/>
              <w:rPr>
                <w:rFonts w:ascii="微软雅黑" w:hAnsi="微软雅黑" w:eastAsia="微软雅黑" w:cs="微软雅黑"/>
                <w:sz w:val="24"/>
                <w:szCs w:val="24"/>
                <w:highlight w:val="none"/>
              </w:rPr>
            </w:pPr>
          </w:p>
        </w:tc>
        <w:tc>
          <w:tcPr>
            <w:tcW w:w="2356" w:type="dxa"/>
            <w:noWrap w:val="0"/>
            <w:vAlign w:val="top"/>
          </w:tcPr>
          <w:p w14:paraId="1E8F4A1D">
            <w:pPr>
              <w:spacing w:line="300" w:lineRule="exact"/>
              <w:rPr>
                <w:rFonts w:ascii="微软雅黑" w:hAnsi="微软雅黑" w:eastAsia="微软雅黑" w:cs="微软雅黑"/>
                <w:sz w:val="24"/>
                <w:szCs w:val="24"/>
                <w:highlight w:val="none"/>
              </w:rPr>
            </w:pPr>
          </w:p>
        </w:tc>
        <w:tc>
          <w:tcPr>
            <w:tcW w:w="1065" w:type="dxa"/>
            <w:noWrap w:val="0"/>
            <w:vAlign w:val="top"/>
          </w:tcPr>
          <w:p w14:paraId="2F923AAC">
            <w:pPr>
              <w:spacing w:line="300" w:lineRule="exact"/>
              <w:rPr>
                <w:rFonts w:ascii="微软雅黑" w:hAnsi="微软雅黑" w:eastAsia="微软雅黑" w:cs="微软雅黑"/>
                <w:sz w:val="24"/>
                <w:szCs w:val="24"/>
                <w:highlight w:val="none"/>
              </w:rPr>
            </w:pPr>
          </w:p>
        </w:tc>
        <w:tc>
          <w:tcPr>
            <w:tcW w:w="2249" w:type="dxa"/>
            <w:noWrap w:val="0"/>
            <w:vAlign w:val="top"/>
          </w:tcPr>
          <w:p w14:paraId="15AC0646">
            <w:pPr>
              <w:spacing w:line="300" w:lineRule="exact"/>
              <w:rPr>
                <w:rFonts w:ascii="微软雅黑" w:hAnsi="微软雅黑" w:eastAsia="微软雅黑" w:cs="微软雅黑"/>
                <w:sz w:val="24"/>
                <w:szCs w:val="24"/>
                <w:highlight w:val="none"/>
              </w:rPr>
            </w:pPr>
          </w:p>
        </w:tc>
        <w:tc>
          <w:tcPr>
            <w:tcW w:w="1275" w:type="dxa"/>
            <w:noWrap w:val="0"/>
            <w:vAlign w:val="top"/>
          </w:tcPr>
          <w:p w14:paraId="33A3B4B4">
            <w:pPr>
              <w:spacing w:line="300" w:lineRule="exact"/>
              <w:rPr>
                <w:rFonts w:ascii="微软雅黑" w:hAnsi="微软雅黑" w:eastAsia="微软雅黑" w:cs="微软雅黑"/>
                <w:sz w:val="24"/>
                <w:szCs w:val="24"/>
                <w:highlight w:val="none"/>
              </w:rPr>
            </w:pPr>
          </w:p>
        </w:tc>
      </w:tr>
      <w:tr w14:paraId="4F15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409E0D9">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072D291C">
            <w:pPr>
              <w:spacing w:line="300" w:lineRule="exact"/>
              <w:rPr>
                <w:rFonts w:ascii="微软雅黑" w:hAnsi="微软雅黑" w:eastAsia="微软雅黑" w:cs="微软雅黑"/>
                <w:sz w:val="24"/>
                <w:szCs w:val="24"/>
                <w:highlight w:val="none"/>
              </w:rPr>
            </w:pPr>
          </w:p>
        </w:tc>
        <w:tc>
          <w:tcPr>
            <w:tcW w:w="2356" w:type="dxa"/>
            <w:noWrap w:val="0"/>
            <w:vAlign w:val="top"/>
          </w:tcPr>
          <w:p w14:paraId="490BC7C9">
            <w:pPr>
              <w:spacing w:line="300" w:lineRule="exact"/>
              <w:rPr>
                <w:rFonts w:ascii="微软雅黑" w:hAnsi="微软雅黑" w:eastAsia="微软雅黑" w:cs="微软雅黑"/>
                <w:sz w:val="24"/>
                <w:szCs w:val="24"/>
                <w:highlight w:val="none"/>
              </w:rPr>
            </w:pPr>
          </w:p>
        </w:tc>
        <w:tc>
          <w:tcPr>
            <w:tcW w:w="1065" w:type="dxa"/>
            <w:noWrap w:val="0"/>
            <w:vAlign w:val="top"/>
          </w:tcPr>
          <w:p w14:paraId="30EAE67B">
            <w:pPr>
              <w:spacing w:line="300" w:lineRule="exact"/>
              <w:rPr>
                <w:rFonts w:ascii="微软雅黑" w:hAnsi="微软雅黑" w:eastAsia="微软雅黑" w:cs="微软雅黑"/>
                <w:sz w:val="24"/>
                <w:szCs w:val="24"/>
                <w:highlight w:val="none"/>
              </w:rPr>
            </w:pPr>
          </w:p>
        </w:tc>
        <w:tc>
          <w:tcPr>
            <w:tcW w:w="2249" w:type="dxa"/>
            <w:noWrap w:val="0"/>
            <w:vAlign w:val="top"/>
          </w:tcPr>
          <w:p w14:paraId="07FF33B2">
            <w:pPr>
              <w:spacing w:line="300" w:lineRule="exact"/>
              <w:rPr>
                <w:rFonts w:ascii="微软雅黑" w:hAnsi="微软雅黑" w:eastAsia="微软雅黑" w:cs="微软雅黑"/>
                <w:sz w:val="24"/>
                <w:szCs w:val="24"/>
                <w:highlight w:val="none"/>
              </w:rPr>
            </w:pPr>
          </w:p>
        </w:tc>
        <w:tc>
          <w:tcPr>
            <w:tcW w:w="1275" w:type="dxa"/>
            <w:noWrap w:val="0"/>
            <w:vAlign w:val="top"/>
          </w:tcPr>
          <w:p w14:paraId="46AF0D90">
            <w:pPr>
              <w:spacing w:line="300" w:lineRule="exact"/>
              <w:rPr>
                <w:rFonts w:ascii="微软雅黑" w:hAnsi="微软雅黑" w:eastAsia="微软雅黑" w:cs="微软雅黑"/>
                <w:sz w:val="24"/>
                <w:szCs w:val="24"/>
                <w:highlight w:val="none"/>
              </w:rPr>
            </w:pPr>
          </w:p>
        </w:tc>
      </w:tr>
      <w:tr w14:paraId="0EE7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D25115C">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0F6D1D0A">
            <w:pPr>
              <w:spacing w:line="300" w:lineRule="exact"/>
              <w:rPr>
                <w:rFonts w:ascii="微软雅黑" w:hAnsi="微软雅黑" w:eastAsia="微软雅黑" w:cs="微软雅黑"/>
                <w:sz w:val="24"/>
                <w:szCs w:val="24"/>
                <w:highlight w:val="none"/>
              </w:rPr>
            </w:pPr>
          </w:p>
        </w:tc>
        <w:tc>
          <w:tcPr>
            <w:tcW w:w="2356" w:type="dxa"/>
            <w:noWrap w:val="0"/>
            <w:vAlign w:val="top"/>
          </w:tcPr>
          <w:p w14:paraId="31786AD8">
            <w:pPr>
              <w:spacing w:line="300" w:lineRule="exact"/>
              <w:rPr>
                <w:rFonts w:ascii="微软雅黑" w:hAnsi="微软雅黑" w:eastAsia="微软雅黑" w:cs="微软雅黑"/>
                <w:sz w:val="24"/>
                <w:szCs w:val="24"/>
                <w:highlight w:val="none"/>
              </w:rPr>
            </w:pPr>
          </w:p>
        </w:tc>
        <w:tc>
          <w:tcPr>
            <w:tcW w:w="1065" w:type="dxa"/>
            <w:noWrap w:val="0"/>
            <w:vAlign w:val="top"/>
          </w:tcPr>
          <w:p w14:paraId="5FF79B57">
            <w:pPr>
              <w:spacing w:line="300" w:lineRule="exact"/>
              <w:rPr>
                <w:rFonts w:ascii="微软雅黑" w:hAnsi="微软雅黑" w:eastAsia="微软雅黑" w:cs="微软雅黑"/>
                <w:sz w:val="24"/>
                <w:szCs w:val="24"/>
                <w:highlight w:val="none"/>
              </w:rPr>
            </w:pPr>
          </w:p>
        </w:tc>
        <w:tc>
          <w:tcPr>
            <w:tcW w:w="2249" w:type="dxa"/>
            <w:noWrap w:val="0"/>
            <w:vAlign w:val="top"/>
          </w:tcPr>
          <w:p w14:paraId="2931B899">
            <w:pPr>
              <w:spacing w:line="300" w:lineRule="exact"/>
              <w:rPr>
                <w:rFonts w:ascii="微软雅黑" w:hAnsi="微软雅黑" w:eastAsia="微软雅黑" w:cs="微软雅黑"/>
                <w:sz w:val="24"/>
                <w:szCs w:val="24"/>
                <w:highlight w:val="none"/>
              </w:rPr>
            </w:pPr>
          </w:p>
        </w:tc>
        <w:tc>
          <w:tcPr>
            <w:tcW w:w="1275" w:type="dxa"/>
            <w:noWrap w:val="0"/>
            <w:vAlign w:val="top"/>
          </w:tcPr>
          <w:p w14:paraId="3E5FCA7E">
            <w:pPr>
              <w:spacing w:line="300" w:lineRule="exact"/>
              <w:rPr>
                <w:rFonts w:ascii="微软雅黑" w:hAnsi="微软雅黑" w:eastAsia="微软雅黑" w:cs="微软雅黑"/>
                <w:sz w:val="24"/>
                <w:szCs w:val="24"/>
                <w:highlight w:val="none"/>
              </w:rPr>
            </w:pPr>
          </w:p>
        </w:tc>
      </w:tr>
      <w:tr w14:paraId="7433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C89A39F">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0576858F">
            <w:pPr>
              <w:spacing w:line="300" w:lineRule="exact"/>
              <w:rPr>
                <w:rFonts w:ascii="微软雅黑" w:hAnsi="微软雅黑" w:eastAsia="微软雅黑" w:cs="微软雅黑"/>
                <w:sz w:val="24"/>
                <w:szCs w:val="24"/>
                <w:highlight w:val="none"/>
              </w:rPr>
            </w:pPr>
          </w:p>
        </w:tc>
        <w:tc>
          <w:tcPr>
            <w:tcW w:w="2356" w:type="dxa"/>
            <w:noWrap w:val="0"/>
            <w:vAlign w:val="top"/>
          </w:tcPr>
          <w:p w14:paraId="4FE065E3">
            <w:pPr>
              <w:spacing w:line="300" w:lineRule="exact"/>
              <w:rPr>
                <w:rFonts w:ascii="微软雅黑" w:hAnsi="微软雅黑" w:eastAsia="微软雅黑" w:cs="微软雅黑"/>
                <w:sz w:val="24"/>
                <w:szCs w:val="24"/>
                <w:highlight w:val="none"/>
              </w:rPr>
            </w:pPr>
          </w:p>
        </w:tc>
        <w:tc>
          <w:tcPr>
            <w:tcW w:w="1065" w:type="dxa"/>
            <w:noWrap w:val="0"/>
            <w:vAlign w:val="top"/>
          </w:tcPr>
          <w:p w14:paraId="168E28CD">
            <w:pPr>
              <w:spacing w:line="300" w:lineRule="exact"/>
              <w:rPr>
                <w:rFonts w:ascii="微软雅黑" w:hAnsi="微软雅黑" w:eastAsia="微软雅黑" w:cs="微软雅黑"/>
                <w:sz w:val="24"/>
                <w:szCs w:val="24"/>
                <w:highlight w:val="none"/>
              </w:rPr>
            </w:pPr>
          </w:p>
        </w:tc>
        <w:tc>
          <w:tcPr>
            <w:tcW w:w="2249" w:type="dxa"/>
            <w:noWrap w:val="0"/>
            <w:vAlign w:val="top"/>
          </w:tcPr>
          <w:p w14:paraId="1F3403C8">
            <w:pPr>
              <w:spacing w:line="300" w:lineRule="exact"/>
              <w:rPr>
                <w:rFonts w:ascii="微软雅黑" w:hAnsi="微软雅黑" w:eastAsia="微软雅黑" w:cs="微软雅黑"/>
                <w:sz w:val="24"/>
                <w:szCs w:val="24"/>
                <w:highlight w:val="none"/>
              </w:rPr>
            </w:pPr>
          </w:p>
        </w:tc>
        <w:tc>
          <w:tcPr>
            <w:tcW w:w="1275" w:type="dxa"/>
            <w:noWrap w:val="0"/>
            <w:vAlign w:val="top"/>
          </w:tcPr>
          <w:p w14:paraId="0472BFBC">
            <w:pPr>
              <w:spacing w:line="300" w:lineRule="exact"/>
              <w:rPr>
                <w:rFonts w:ascii="微软雅黑" w:hAnsi="微软雅黑" w:eastAsia="微软雅黑" w:cs="微软雅黑"/>
                <w:sz w:val="24"/>
                <w:szCs w:val="24"/>
                <w:highlight w:val="none"/>
              </w:rPr>
            </w:pPr>
          </w:p>
        </w:tc>
      </w:tr>
      <w:tr w14:paraId="549D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78E5131">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6EC73C76">
            <w:pPr>
              <w:spacing w:line="300" w:lineRule="exact"/>
              <w:rPr>
                <w:rFonts w:hint="default" w:ascii="微软雅黑" w:hAnsi="微软雅黑" w:eastAsia="微软雅黑" w:cs="微软雅黑"/>
                <w:sz w:val="24"/>
                <w:szCs w:val="24"/>
                <w:highlight w:val="none"/>
                <w:lang w:val="en-US" w:eastAsia="zh-CN"/>
              </w:rPr>
            </w:pPr>
          </w:p>
        </w:tc>
        <w:tc>
          <w:tcPr>
            <w:tcW w:w="2356" w:type="dxa"/>
            <w:noWrap w:val="0"/>
            <w:vAlign w:val="top"/>
          </w:tcPr>
          <w:p w14:paraId="5F00180A">
            <w:pPr>
              <w:spacing w:line="300" w:lineRule="exact"/>
              <w:rPr>
                <w:rFonts w:ascii="微软雅黑" w:hAnsi="微软雅黑" w:eastAsia="微软雅黑" w:cs="微软雅黑"/>
                <w:sz w:val="24"/>
                <w:szCs w:val="24"/>
                <w:highlight w:val="none"/>
              </w:rPr>
            </w:pPr>
          </w:p>
        </w:tc>
        <w:tc>
          <w:tcPr>
            <w:tcW w:w="1065" w:type="dxa"/>
            <w:noWrap w:val="0"/>
            <w:vAlign w:val="top"/>
          </w:tcPr>
          <w:p w14:paraId="460A705A">
            <w:pPr>
              <w:spacing w:line="300" w:lineRule="exact"/>
              <w:rPr>
                <w:rFonts w:ascii="微软雅黑" w:hAnsi="微软雅黑" w:eastAsia="微软雅黑" w:cs="微软雅黑"/>
                <w:sz w:val="24"/>
                <w:szCs w:val="24"/>
                <w:highlight w:val="none"/>
              </w:rPr>
            </w:pPr>
          </w:p>
        </w:tc>
        <w:tc>
          <w:tcPr>
            <w:tcW w:w="2249" w:type="dxa"/>
            <w:noWrap w:val="0"/>
            <w:vAlign w:val="top"/>
          </w:tcPr>
          <w:p w14:paraId="0E4F5168">
            <w:pPr>
              <w:spacing w:line="300" w:lineRule="exact"/>
              <w:rPr>
                <w:rFonts w:ascii="微软雅黑" w:hAnsi="微软雅黑" w:eastAsia="微软雅黑" w:cs="微软雅黑"/>
                <w:sz w:val="24"/>
                <w:szCs w:val="24"/>
                <w:highlight w:val="none"/>
              </w:rPr>
            </w:pPr>
          </w:p>
        </w:tc>
        <w:tc>
          <w:tcPr>
            <w:tcW w:w="1275" w:type="dxa"/>
            <w:noWrap w:val="0"/>
            <w:vAlign w:val="top"/>
          </w:tcPr>
          <w:p w14:paraId="1F3EE939">
            <w:pPr>
              <w:spacing w:line="300" w:lineRule="exact"/>
              <w:rPr>
                <w:rFonts w:ascii="微软雅黑" w:hAnsi="微软雅黑" w:eastAsia="微软雅黑" w:cs="微软雅黑"/>
                <w:sz w:val="24"/>
                <w:szCs w:val="24"/>
                <w:highlight w:val="none"/>
              </w:rPr>
            </w:pPr>
          </w:p>
        </w:tc>
      </w:tr>
      <w:tr w14:paraId="44D4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BDA4C52">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0F5ABEB1">
            <w:pPr>
              <w:spacing w:line="300" w:lineRule="exact"/>
              <w:rPr>
                <w:rFonts w:ascii="微软雅黑" w:hAnsi="微软雅黑" w:eastAsia="微软雅黑" w:cs="微软雅黑"/>
                <w:sz w:val="24"/>
                <w:szCs w:val="24"/>
                <w:highlight w:val="none"/>
              </w:rPr>
            </w:pPr>
          </w:p>
        </w:tc>
        <w:tc>
          <w:tcPr>
            <w:tcW w:w="2356" w:type="dxa"/>
            <w:noWrap w:val="0"/>
            <w:vAlign w:val="top"/>
          </w:tcPr>
          <w:p w14:paraId="4B5AC615">
            <w:pPr>
              <w:spacing w:line="300" w:lineRule="exact"/>
              <w:rPr>
                <w:rFonts w:ascii="微软雅黑" w:hAnsi="微软雅黑" w:eastAsia="微软雅黑" w:cs="微软雅黑"/>
                <w:sz w:val="24"/>
                <w:szCs w:val="24"/>
                <w:highlight w:val="none"/>
              </w:rPr>
            </w:pPr>
          </w:p>
        </w:tc>
        <w:tc>
          <w:tcPr>
            <w:tcW w:w="1065" w:type="dxa"/>
            <w:noWrap w:val="0"/>
            <w:vAlign w:val="top"/>
          </w:tcPr>
          <w:p w14:paraId="5F2D2CCF">
            <w:pPr>
              <w:spacing w:line="300" w:lineRule="exact"/>
              <w:rPr>
                <w:rFonts w:ascii="微软雅黑" w:hAnsi="微软雅黑" w:eastAsia="微软雅黑" w:cs="微软雅黑"/>
                <w:sz w:val="24"/>
                <w:szCs w:val="24"/>
                <w:highlight w:val="none"/>
              </w:rPr>
            </w:pPr>
          </w:p>
        </w:tc>
        <w:tc>
          <w:tcPr>
            <w:tcW w:w="2249" w:type="dxa"/>
            <w:noWrap w:val="0"/>
            <w:vAlign w:val="top"/>
          </w:tcPr>
          <w:p w14:paraId="670C46B7">
            <w:pPr>
              <w:spacing w:line="300" w:lineRule="exact"/>
              <w:rPr>
                <w:rFonts w:ascii="微软雅黑" w:hAnsi="微软雅黑" w:eastAsia="微软雅黑" w:cs="微软雅黑"/>
                <w:sz w:val="24"/>
                <w:szCs w:val="24"/>
                <w:highlight w:val="none"/>
              </w:rPr>
            </w:pPr>
          </w:p>
        </w:tc>
        <w:tc>
          <w:tcPr>
            <w:tcW w:w="1275" w:type="dxa"/>
            <w:noWrap w:val="0"/>
            <w:vAlign w:val="top"/>
          </w:tcPr>
          <w:p w14:paraId="7914DD39">
            <w:pPr>
              <w:spacing w:line="300" w:lineRule="exact"/>
              <w:rPr>
                <w:rFonts w:ascii="微软雅黑" w:hAnsi="微软雅黑" w:eastAsia="微软雅黑" w:cs="微软雅黑"/>
                <w:sz w:val="24"/>
                <w:szCs w:val="24"/>
                <w:highlight w:val="none"/>
              </w:rPr>
            </w:pPr>
          </w:p>
        </w:tc>
      </w:tr>
      <w:tr w14:paraId="4327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979399A">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45FF6335">
            <w:pPr>
              <w:spacing w:line="300" w:lineRule="exact"/>
              <w:rPr>
                <w:rFonts w:ascii="微软雅黑" w:hAnsi="微软雅黑" w:eastAsia="微软雅黑" w:cs="微软雅黑"/>
                <w:sz w:val="24"/>
                <w:szCs w:val="24"/>
                <w:highlight w:val="none"/>
              </w:rPr>
            </w:pPr>
          </w:p>
        </w:tc>
        <w:tc>
          <w:tcPr>
            <w:tcW w:w="2356" w:type="dxa"/>
            <w:noWrap w:val="0"/>
            <w:vAlign w:val="top"/>
          </w:tcPr>
          <w:p w14:paraId="4CBB5A4D">
            <w:pPr>
              <w:spacing w:line="300" w:lineRule="exact"/>
              <w:rPr>
                <w:rFonts w:ascii="微软雅黑" w:hAnsi="微软雅黑" w:eastAsia="微软雅黑" w:cs="微软雅黑"/>
                <w:sz w:val="24"/>
                <w:szCs w:val="24"/>
                <w:highlight w:val="none"/>
              </w:rPr>
            </w:pPr>
          </w:p>
        </w:tc>
        <w:tc>
          <w:tcPr>
            <w:tcW w:w="1065" w:type="dxa"/>
            <w:noWrap w:val="0"/>
            <w:vAlign w:val="top"/>
          </w:tcPr>
          <w:p w14:paraId="32399EA8">
            <w:pPr>
              <w:spacing w:line="300" w:lineRule="exact"/>
              <w:rPr>
                <w:rFonts w:ascii="微软雅黑" w:hAnsi="微软雅黑" w:eastAsia="微软雅黑" w:cs="微软雅黑"/>
                <w:sz w:val="24"/>
                <w:szCs w:val="24"/>
                <w:highlight w:val="none"/>
              </w:rPr>
            </w:pPr>
          </w:p>
        </w:tc>
        <w:tc>
          <w:tcPr>
            <w:tcW w:w="2249" w:type="dxa"/>
            <w:noWrap w:val="0"/>
            <w:vAlign w:val="top"/>
          </w:tcPr>
          <w:p w14:paraId="189C4E77">
            <w:pPr>
              <w:spacing w:line="300" w:lineRule="exact"/>
              <w:rPr>
                <w:rFonts w:ascii="微软雅黑" w:hAnsi="微软雅黑" w:eastAsia="微软雅黑" w:cs="微软雅黑"/>
                <w:sz w:val="24"/>
                <w:szCs w:val="24"/>
                <w:highlight w:val="none"/>
              </w:rPr>
            </w:pPr>
          </w:p>
        </w:tc>
        <w:tc>
          <w:tcPr>
            <w:tcW w:w="1275" w:type="dxa"/>
            <w:noWrap w:val="0"/>
            <w:vAlign w:val="top"/>
          </w:tcPr>
          <w:p w14:paraId="508897FD">
            <w:pPr>
              <w:spacing w:line="300" w:lineRule="exact"/>
              <w:rPr>
                <w:rFonts w:ascii="微软雅黑" w:hAnsi="微软雅黑" w:eastAsia="微软雅黑" w:cs="微软雅黑"/>
                <w:sz w:val="24"/>
                <w:szCs w:val="24"/>
                <w:highlight w:val="none"/>
              </w:rPr>
            </w:pPr>
          </w:p>
        </w:tc>
      </w:tr>
      <w:tr w14:paraId="2192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97C24F6">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5A54AF4B">
            <w:pPr>
              <w:spacing w:line="300" w:lineRule="exact"/>
              <w:rPr>
                <w:rFonts w:ascii="微软雅黑" w:hAnsi="微软雅黑" w:eastAsia="微软雅黑" w:cs="微软雅黑"/>
                <w:sz w:val="24"/>
                <w:szCs w:val="24"/>
                <w:highlight w:val="none"/>
              </w:rPr>
            </w:pPr>
          </w:p>
        </w:tc>
        <w:tc>
          <w:tcPr>
            <w:tcW w:w="2356" w:type="dxa"/>
            <w:noWrap w:val="0"/>
            <w:vAlign w:val="top"/>
          </w:tcPr>
          <w:p w14:paraId="2F453EE4">
            <w:pPr>
              <w:spacing w:line="300" w:lineRule="exact"/>
              <w:rPr>
                <w:rFonts w:ascii="微软雅黑" w:hAnsi="微软雅黑" w:eastAsia="微软雅黑" w:cs="微软雅黑"/>
                <w:sz w:val="24"/>
                <w:szCs w:val="24"/>
                <w:highlight w:val="none"/>
              </w:rPr>
            </w:pPr>
          </w:p>
        </w:tc>
        <w:tc>
          <w:tcPr>
            <w:tcW w:w="1065" w:type="dxa"/>
            <w:noWrap w:val="0"/>
            <w:vAlign w:val="top"/>
          </w:tcPr>
          <w:p w14:paraId="60726E11">
            <w:pPr>
              <w:spacing w:line="300" w:lineRule="exact"/>
              <w:rPr>
                <w:rFonts w:ascii="微软雅黑" w:hAnsi="微软雅黑" w:eastAsia="微软雅黑" w:cs="微软雅黑"/>
                <w:sz w:val="24"/>
                <w:szCs w:val="24"/>
                <w:highlight w:val="none"/>
              </w:rPr>
            </w:pPr>
          </w:p>
        </w:tc>
        <w:tc>
          <w:tcPr>
            <w:tcW w:w="2249" w:type="dxa"/>
            <w:noWrap w:val="0"/>
            <w:vAlign w:val="top"/>
          </w:tcPr>
          <w:p w14:paraId="6A115EA7">
            <w:pPr>
              <w:spacing w:line="300" w:lineRule="exact"/>
              <w:rPr>
                <w:rFonts w:ascii="微软雅黑" w:hAnsi="微软雅黑" w:eastAsia="微软雅黑" w:cs="微软雅黑"/>
                <w:sz w:val="24"/>
                <w:szCs w:val="24"/>
                <w:highlight w:val="none"/>
              </w:rPr>
            </w:pPr>
          </w:p>
        </w:tc>
        <w:tc>
          <w:tcPr>
            <w:tcW w:w="1275" w:type="dxa"/>
            <w:noWrap w:val="0"/>
            <w:vAlign w:val="top"/>
          </w:tcPr>
          <w:p w14:paraId="4E2343EF">
            <w:pPr>
              <w:spacing w:line="300" w:lineRule="exact"/>
              <w:rPr>
                <w:rFonts w:ascii="微软雅黑" w:hAnsi="微软雅黑" w:eastAsia="微软雅黑" w:cs="微软雅黑"/>
                <w:sz w:val="24"/>
                <w:szCs w:val="24"/>
                <w:highlight w:val="none"/>
              </w:rPr>
            </w:pPr>
          </w:p>
        </w:tc>
      </w:tr>
      <w:tr w14:paraId="1106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F1A4A6F">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39E09641">
            <w:pPr>
              <w:spacing w:line="300" w:lineRule="exact"/>
              <w:rPr>
                <w:rFonts w:ascii="微软雅黑" w:hAnsi="微软雅黑" w:eastAsia="微软雅黑" w:cs="微软雅黑"/>
                <w:sz w:val="24"/>
                <w:szCs w:val="24"/>
                <w:highlight w:val="none"/>
              </w:rPr>
            </w:pPr>
          </w:p>
        </w:tc>
        <w:tc>
          <w:tcPr>
            <w:tcW w:w="2356" w:type="dxa"/>
            <w:noWrap w:val="0"/>
            <w:vAlign w:val="top"/>
          </w:tcPr>
          <w:p w14:paraId="09FD19F7">
            <w:pPr>
              <w:spacing w:line="300" w:lineRule="exact"/>
              <w:rPr>
                <w:rFonts w:ascii="微软雅黑" w:hAnsi="微软雅黑" w:eastAsia="微软雅黑" w:cs="微软雅黑"/>
                <w:sz w:val="24"/>
                <w:szCs w:val="24"/>
                <w:highlight w:val="none"/>
              </w:rPr>
            </w:pPr>
          </w:p>
        </w:tc>
        <w:tc>
          <w:tcPr>
            <w:tcW w:w="1065" w:type="dxa"/>
            <w:noWrap w:val="0"/>
            <w:vAlign w:val="top"/>
          </w:tcPr>
          <w:p w14:paraId="3C26AA01">
            <w:pPr>
              <w:spacing w:line="300" w:lineRule="exact"/>
              <w:rPr>
                <w:rFonts w:ascii="微软雅黑" w:hAnsi="微软雅黑" w:eastAsia="微软雅黑" w:cs="微软雅黑"/>
                <w:sz w:val="24"/>
                <w:szCs w:val="24"/>
                <w:highlight w:val="none"/>
              </w:rPr>
            </w:pPr>
          </w:p>
        </w:tc>
        <w:tc>
          <w:tcPr>
            <w:tcW w:w="2249" w:type="dxa"/>
            <w:noWrap w:val="0"/>
            <w:vAlign w:val="top"/>
          </w:tcPr>
          <w:p w14:paraId="3A337A93">
            <w:pPr>
              <w:spacing w:line="300" w:lineRule="exact"/>
              <w:rPr>
                <w:rFonts w:ascii="微软雅黑" w:hAnsi="微软雅黑" w:eastAsia="微软雅黑" w:cs="微软雅黑"/>
                <w:sz w:val="24"/>
                <w:szCs w:val="24"/>
                <w:highlight w:val="none"/>
              </w:rPr>
            </w:pPr>
          </w:p>
        </w:tc>
        <w:tc>
          <w:tcPr>
            <w:tcW w:w="1275" w:type="dxa"/>
            <w:noWrap w:val="0"/>
            <w:vAlign w:val="top"/>
          </w:tcPr>
          <w:p w14:paraId="1641DC75">
            <w:pPr>
              <w:spacing w:line="300" w:lineRule="exact"/>
              <w:rPr>
                <w:rFonts w:ascii="微软雅黑" w:hAnsi="微软雅黑" w:eastAsia="微软雅黑" w:cs="微软雅黑"/>
                <w:sz w:val="24"/>
                <w:szCs w:val="24"/>
                <w:highlight w:val="none"/>
              </w:rPr>
            </w:pPr>
          </w:p>
        </w:tc>
      </w:tr>
      <w:tr w14:paraId="22E2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8EC12C">
            <w:pPr>
              <w:pStyle w:val="28"/>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5F59C1E7">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3AC1AD3F">
            <w:pPr>
              <w:spacing w:line="300" w:lineRule="exact"/>
              <w:rPr>
                <w:rFonts w:ascii="微软雅黑" w:hAnsi="微软雅黑" w:eastAsia="微软雅黑" w:cs="微软雅黑"/>
                <w:sz w:val="24"/>
                <w:szCs w:val="24"/>
                <w:highlight w:val="none"/>
              </w:rPr>
            </w:pPr>
          </w:p>
        </w:tc>
      </w:tr>
    </w:tbl>
    <w:p w14:paraId="55A53F87">
      <w:pPr>
        <w:pStyle w:val="12"/>
        <w:ind w:firstLine="0"/>
        <w:rPr>
          <w:rFonts w:hint="eastAsia"/>
          <w:highlight w:val="none"/>
        </w:rPr>
      </w:pPr>
    </w:p>
    <w:p w14:paraId="56E8C518">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2A960390">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0793C269">
      <w:pPr>
        <w:spacing w:line="600" w:lineRule="exact"/>
        <w:ind w:firstLine="556" w:firstLineChars="200"/>
        <w:rPr>
          <w:rFonts w:ascii="微软雅黑" w:hAnsi="微软雅黑" w:eastAsia="微软雅黑" w:cs="微软雅黑"/>
          <w:sz w:val="30"/>
          <w:szCs w:val="30"/>
          <w:highlight w:val="none"/>
        </w:rPr>
      </w:pPr>
    </w:p>
    <w:p w14:paraId="498AA92E">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1A117DC9">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327E10E0">
      <w:pPr>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br w:type="page"/>
      </w:r>
    </w:p>
    <w:p w14:paraId="7C24943D">
      <w:pPr>
        <w:spacing w:line="594" w:lineRule="exact"/>
        <w:jc w:val="both"/>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101BC091">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4"/>
        <w:tblW w:w="10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214"/>
        <w:gridCol w:w="2153"/>
        <w:gridCol w:w="1365"/>
      </w:tblGrid>
      <w:tr w14:paraId="2339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2086E9D9">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AB1D065">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214" w:type="dxa"/>
            <w:tcBorders>
              <w:top w:val="single" w:color="auto" w:sz="4" w:space="0"/>
              <w:left w:val="single" w:color="auto" w:sz="4" w:space="0"/>
              <w:bottom w:val="single" w:color="auto" w:sz="4" w:space="0"/>
              <w:right w:val="single" w:color="auto" w:sz="4" w:space="0"/>
            </w:tcBorders>
            <w:noWrap w:val="0"/>
            <w:vAlign w:val="center"/>
          </w:tcPr>
          <w:p w14:paraId="4338404A">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53" w:type="dxa"/>
            <w:tcBorders>
              <w:top w:val="single" w:color="auto" w:sz="4" w:space="0"/>
              <w:left w:val="single" w:color="auto" w:sz="4" w:space="0"/>
              <w:bottom w:val="single" w:color="auto" w:sz="4" w:space="0"/>
              <w:right w:val="single" w:color="auto" w:sz="4" w:space="0"/>
            </w:tcBorders>
            <w:noWrap w:val="0"/>
            <w:vAlign w:val="center"/>
          </w:tcPr>
          <w:p w14:paraId="06032D18">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0F68E4E">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764833F">
            <w:pPr>
              <w:spacing w:line="594" w:lineRule="exact"/>
              <w:jc w:val="center"/>
              <w:rPr>
                <w:rFonts w:hint="default"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佐证材料（页数）</w:t>
            </w:r>
          </w:p>
        </w:tc>
      </w:tr>
      <w:tr w14:paraId="49089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D56BAF4">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CC277A7">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38B937EC">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15354276">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1ACABC9">
            <w:pPr>
              <w:spacing w:line="594" w:lineRule="exact"/>
              <w:ind w:firstLine="556" w:firstLineChars="200"/>
              <w:rPr>
                <w:rFonts w:hint="eastAsia" w:ascii="方正仿宋_GBK" w:eastAsia="方正仿宋_GBK"/>
                <w:sz w:val="30"/>
                <w:szCs w:val="30"/>
                <w:highlight w:val="none"/>
              </w:rPr>
            </w:pPr>
          </w:p>
        </w:tc>
      </w:tr>
      <w:tr w14:paraId="3E2D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5B442B29">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7244095">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645D86D3">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405F46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289A9B4">
            <w:pPr>
              <w:spacing w:line="594" w:lineRule="exact"/>
              <w:ind w:firstLine="556" w:firstLineChars="200"/>
              <w:rPr>
                <w:rFonts w:hint="eastAsia" w:ascii="方正仿宋_GBK" w:eastAsia="方正仿宋_GBK"/>
                <w:sz w:val="30"/>
                <w:szCs w:val="30"/>
                <w:highlight w:val="none"/>
              </w:rPr>
            </w:pPr>
          </w:p>
        </w:tc>
      </w:tr>
      <w:tr w14:paraId="720A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DD57445">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B105AD4">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0AC0BF57">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1392B316">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49799B3B">
            <w:pPr>
              <w:spacing w:line="594" w:lineRule="exact"/>
              <w:ind w:firstLine="556" w:firstLineChars="200"/>
              <w:rPr>
                <w:rFonts w:hint="eastAsia" w:ascii="方正仿宋_GBK" w:eastAsia="方正仿宋_GBK"/>
                <w:sz w:val="30"/>
                <w:szCs w:val="30"/>
                <w:highlight w:val="none"/>
              </w:rPr>
            </w:pPr>
          </w:p>
        </w:tc>
      </w:tr>
      <w:tr w14:paraId="4A00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95BAAF4">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FFCFB78">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78466E27">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A2A36F8">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E121C9A">
            <w:pPr>
              <w:spacing w:line="594" w:lineRule="exact"/>
              <w:ind w:firstLine="556" w:firstLineChars="200"/>
              <w:rPr>
                <w:rFonts w:hint="eastAsia" w:ascii="方正仿宋_GBK" w:eastAsia="方正仿宋_GBK"/>
                <w:sz w:val="30"/>
                <w:szCs w:val="30"/>
                <w:highlight w:val="none"/>
              </w:rPr>
            </w:pPr>
          </w:p>
        </w:tc>
      </w:tr>
      <w:tr w14:paraId="4C8E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35A549DA">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314C61F">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1E5EE111">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382066FB">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DAD08DC">
            <w:pPr>
              <w:spacing w:line="594" w:lineRule="exact"/>
              <w:ind w:firstLine="556" w:firstLineChars="200"/>
              <w:rPr>
                <w:rFonts w:hint="eastAsia" w:ascii="方正仿宋_GBK" w:eastAsia="方正仿宋_GBK"/>
                <w:sz w:val="30"/>
                <w:szCs w:val="30"/>
                <w:highlight w:val="none"/>
              </w:rPr>
            </w:pPr>
          </w:p>
        </w:tc>
      </w:tr>
      <w:tr w14:paraId="5ADC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5A9EEBA">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3B64F3F">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84063D3">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60E924D">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B11D512">
            <w:pPr>
              <w:spacing w:line="594" w:lineRule="exact"/>
              <w:ind w:firstLine="556" w:firstLineChars="200"/>
              <w:rPr>
                <w:rFonts w:hint="eastAsia" w:ascii="方正仿宋_GBK" w:eastAsia="方正仿宋_GBK"/>
                <w:sz w:val="30"/>
                <w:szCs w:val="30"/>
                <w:highlight w:val="none"/>
              </w:rPr>
            </w:pPr>
          </w:p>
        </w:tc>
      </w:tr>
      <w:tr w14:paraId="3A762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899F0F9">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834306">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3CE300B4">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525590AC">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F9AD24C">
            <w:pPr>
              <w:spacing w:line="594" w:lineRule="exact"/>
              <w:ind w:firstLine="556" w:firstLineChars="200"/>
              <w:rPr>
                <w:rFonts w:hint="eastAsia" w:ascii="方正仿宋_GBK" w:eastAsia="方正仿宋_GBK"/>
                <w:sz w:val="30"/>
                <w:szCs w:val="30"/>
                <w:highlight w:val="none"/>
              </w:rPr>
            </w:pPr>
          </w:p>
        </w:tc>
      </w:tr>
      <w:tr w14:paraId="52BA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F7FB796">
            <w:pPr>
              <w:spacing w:line="594" w:lineRule="exact"/>
              <w:ind w:firstLine="556" w:firstLineChars="200"/>
              <w:jc w:val="center"/>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871CA4E">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736F2BF1">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3E620D0">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3C8CB64">
            <w:pPr>
              <w:spacing w:line="594" w:lineRule="exact"/>
              <w:ind w:firstLine="556" w:firstLineChars="200"/>
              <w:rPr>
                <w:rFonts w:hint="eastAsia" w:ascii="方正仿宋_GBK" w:eastAsia="方正仿宋_GBK"/>
                <w:sz w:val="30"/>
                <w:szCs w:val="30"/>
                <w:highlight w:val="none"/>
              </w:rPr>
            </w:pPr>
          </w:p>
        </w:tc>
      </w:tr>
      <w:tr w14:paraId="401A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4A183856">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4671ECB">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8023FB5">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09CF4B0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948203C">
            <w:pPr>
              <w:spacing w:line="594" w:lineRule="exact"/>
              <w:ind w:firstLine="556" w:firstLineChars="200"/>
              <w:rPr>
                <w:rFonts w:hint="eastAsia" w:ascii="方正仿宋_GBK" w:eastAsia="方正仿宋_GBK"/>
                <w:sz w:val="30"/>
                <w:szCs w:val="30"/>
                <w:highlight w:val="none"/>
              </w:rPr>
            </w:pPr>
          </w:p>
        </w:tc>
      </w:tr>
      <w:tr w14:paraId="63BF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045AC3EC">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ADE30E8">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017ECC41">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D81DBAE">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71AC802">
            <w:pPr>
              <w:spacing w:line="594" w:lineRule="exact"/>
              <w:ind w:firstLine="556" w:firstLineChars="200"/>
              <w:rPr>
                <w:rFonts w:hint="eastAsia" w:ascii="方正仿宋_GBK" w:eastAsia="方正仿宋_GBK"/>
                <w:sz w:val="30"/>
                <w:szCs w:val="30"/>
                <w:highlight w:val="none"/>
              </w:rPr>
            </w:pPr>
          </w:p>
        </w:tc>
      </w:tr>
      <w:tr w14:paraId="2900F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66133D1">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7C4B506">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5E572FD">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38843DA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96BCBA3">
            <w:pPr>
              <w:spacing w:line="594" w:lineRule="exact"/>
              <w:ind w:firstLine="556" w:firstLineChars="200"/>
              <w:rPr>
                <w:rFonts w:hint="eastAsia" w:ascii="方正仿宋_GBK" w:eastAsia="方正仿宋_GBK"/>
                <w:sz w:val="30"/>
                <w:szCs w:val="30"/>
                <w:highlight w:val="none"/>
              </w:rPr>
            </w:pPr>
          </w:p>
        </w:tc>
      </w:tr>
    </w:tbl>
    <w:p w14:paraId="70557DE1">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01E13594">
      <w:pPr>
        <w:numPr>
          <w:ilvl w:val="0"/>
          <w:numId w:val="5"/>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70C8F67D">
      <w:pPr>
        <w:numPr>
          <w:ilvl w:val="0"/>
          <w:numId w:val="5"/>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5E99A7EF">
      <w:pPr>
        <w:spacing w:line="594" w:lineRule="exact"/>
        <w:ind w:firstLine="596" w:firstLineChars="200"/>
        <w:rPr>
          <w:rFonts w:hint="eastAsia" w:ascii="方正仿宋_GBK" w:eastAsia="方正仿宋_GBK"/>
          <w:sz w:val="32"/>
          <w:szCs w:val="32"/>
          <w:highlight w:val="none"/>
        </w:rPr>
      </w:pPr>
    </w:p>
    <w:p w14:paraId="268CE2E4">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1EF405AD">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3656FCE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4"/>
        <w:tblW w:w="9969"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19"/>
        <w:gridCol w:w="3015"/>
        <w:gridCol w:w="1770"/>
      </w:tblGrid>
      <w:tr w14:paraId="7451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3058C00F">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A424F3E">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54FE690">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7EA3930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2E14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0A81C4EE">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5CEDD229">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6CD4671">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8DF1012">
            <w:pPr>
              <w:spacing w:line="594" w:lineRule="exact"/>
              <w:ind w:firstLine="556" w:firstLineChars="200"/>
              <w:rPr>
                <w:rFonts w:hint="eastAsia" w:ascii="微软雅黑" w:hAnsi="微软雅黑" w:eastAsia="微软雅黑"/>
                <w:sz w:val="30"/>
                <w:szCs w:val="30"/>
                <w:highlight w:val="none"/>
              </w:rPr>
            </w:pPr>
          </w:p>
        </w:tc>
      </w:tr>
      <w:tr w14:paraId="472E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75F023D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5ED0A842">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4427DD62">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AAE1F65">
            <w:pPr>
              <w:spacing w:line="594" w:lineRule="exact"/>
              <w:ind w:firstLine="556" w:firstLineChars="200"/>
              <w:rPr>
                <w:rFonts w:hint="eastAsia" w:ascii="微软雅黑" w:hAnsi="微软雅黑" w:eastAsia="微软雅黑"/>
                <w:sz w:val="30"/>
                <w:szCs w:val="30"/>
                <w:highlight w:val="none"/>
              </w:rPr>
            </w:pPr>
          </w:p>
        </w:tc>
      </w:tr>
      <w:tr w14:paraId="102E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AA5DC1F">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D2F4955">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94780B9">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3D0BF16">
            <w:pPr>
              <w:spacing w:line="594" w:lineRule="exact"/>
              <w:ind w:firstLine="556" w:firstLineChars="200"/>
              <w:rPr>
                <w:rFonts w:hint="eastAsia" w:ascii="微软雅黑" w:hAnsi="微软雅黑" w:eastAsia="微软雅黑"/>
                <w:sz w:val="30"/>
                <w:szCs w:val="30"/>
                <w:highlight w:val="none"/>
              </w:rPr>
            </w:pPr>
          </w:p>
        </w:tc>
      </w:tr>
      <w:tr w14:paraId="504C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DB3311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B5C8FF8">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77E961DE">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D300E76">
            <w:pPr>
              <w:spacing w:line="594" w:lineRule="exact"/>
              <w:ind w:firstLine="556" w:firstLineChars="200"/>
              <w:rPr>
                <w:rFonts w:hint="eastAsia" w:ascii="微软雅黑" w:hAnsi="微软雅黑" w:eastAsia="微软雅黑"/>
                <w:sz w:val="30"/>
                <w:szCs w:val="30"/>
                <w:highlight w:val="none"/>
              </w:rPr>
            </w:pPr>
          </w:p>
        </w:tc>
      </w:tr>
      <w:tr w14:paraId="5976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67EDB956">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591AF3C4">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CA7219F">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54063DC">
            <w:pPr>
              <w:spacing w:line="594" w:lineRule="exact"/>
              <w:ind w:firstLine="556" w:firstLineChars="200"/>
              <w:rPr>
                <w:rFonts w:hint="eastAsia" w:ascii="微软雅黑" w:hAnsi="微软雅黑" w:eastAsia="微软雅黑"/>
                <w:sz w:val="30"/>
                <w:szCs w:val="30"/>
                <w:highlight w:val="none"/>
              </w:rPr>
            </w:pPr>
          </w:p>
        </w:tc>
      </w:tr>
      <w:tr w14:paraId="5E69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C9C07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16FAC0EB">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5C51D137">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D427111">
            <w:pPr>
              <w:spacing w:line="594" w:lineRule="exact"/>
              <w:ind w:firstLine="556" w:firstLineChars="200"/>
              <w:rPr>
                <w:rFonts w:hint="eastAsia" w:ascii="微软雅黑" w:hAnsi="微软雅黑" w:eastAsia="微软雅黑"/>
                <w:sz w:val="30"/>
                <w:szCs w:val="30"/>
                <w:highlight w:val="none"/>
              </w:rPr>
            </w:pPr>
          </w:p>
        </w:tc>
      </w:tr>
      <w:tr w14:paraId="4012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4EF56E2E">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0F6A015E">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223CD107">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F56738C">
            <w:pPr>
              <w:spacing w:line="594" w:lineRule="exact"/>
              <w:ind w:firstLine="556" w:firstLineChars="200"/>
              <w:rPr>
                <w:rFonts w:hint="eastAsia" w:ascii="微软雅黑" w:hAnsi="微软雅黑" w:eastAsia="微软雅黑"/>
                <w:sz w:val="30"/>
                <w:szCs w:val="30"/>
                <w:highlight w:val="none"/>
              </w:rPr>
            </w:pPr>
          </w:p>
        </w:tc>
      </w:tr>
      <w:tr w14:paraId="3E9A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4BE35A">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19" w:type="dxa"/>
            <w:tcBorders>
              <w:top w:val="single" w:color="auto" w:sz="4" w:space="0"/>
              <w:left w:val="single" w:color="auto" w:sz="4" w:space="0"/>
              <w:bottom w:val="single" w:color="auto" w:sz="4" w:space="0"/>
              <w:right w:val="single" w:color="auto" w:sz="4" w:space="0"/>
            </w:tcBorders>
            <w:noWrap w:val="0"/>
            <w:vAlign w:val="center"/>
          </w:tcPr>
          <w:p w14:paraId="7E8A0CDB">
            <w:pPr>
              <w:spacing w:line="594" w:lineRule="exact"/>
              <w:ind w:firstLine="556" w:firstLineChars="200"/>
              <w:rPr>
                <w:rFonts w:hint="eastAsia" w:ascii="微软雅黑" w:hAnsi="微软雅黑" w:eastAsia="微软雅黑"/>
                <w:sz w:val="30"/>
                <w:szCs w:val="30"/>
                <w:highlight w:val="none"/>
              </w:rPr>
            </w:pPr>
          </w:p>
        </w:tc>
        <w:tc>
          <w:tcPr>
            <w:tcW w:w="3015" w:type="dxa"/>
            <w:tcBorders>
              <w:top w:val="single" w:color="auto" w:sz="4" w:space="0"/>
              <w:left w:val="single" w:color="auto" w:sz="4" w:space="0"/>
              <w:bottom w:val="single" w:color="auto" w:sz="4" w:space="0"/>
              <w:right w:val="single" w:color="auto" w:sz="4" w:space="0"/>
            </w:tcBorders>
            <w:noWrap w:val="0"/>
            <w:vAlign w:val="center"/>
          </w:tcPr>
          <w:p w14:paraId="6EF39913">
            <w:pPr>
              <w:spacing w:line="594" w:lineRule="exact"/>
              <w:ind w:firstLine="556" w:firstLineChars="200"/>
              <w:rPr>
                <w:rFonts w:hint="eastAsia" w:ascii="微软雅黑" w:hAnsi="微软雅黑" w:eastAsia="微软雅黑"/>
                <w:sz w:val="30"/>
                <w:szCs w:val="30"/>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5F44E31">
            <w:pPr>
              <w:spacing w:line="594" w:lineRule="exact"/>
              <w:ind w:firstLine="556" w:firstLineChars="200"/>
              <w:rPr>
                <w:rFonts w:hint="eastAsia" w:ascii="微软雅黑" w:hAnsi="微软雅黑" w:eastAsia="微软雅黑"/>
                <w:sz w:val="30"/>
                <w:szCs w:val="30"/>
                <w:highlight w:val="none"/>
              </w:rPr>
            </w:pPr>
          </w:p>
        </w:tc>
      </w:tr>
    </w:tbl>
    <w:p w14:paraId="06B41339">
      <w:pPr>
        <w:spacing w:line="594" w:lineRule="exact"/>
        <w:ind w:firstLine="556" w:firstLineChars="200"/>
        <w:rPr>
          <w:rFonts w:hint="eastAsia" w:ascii="微软雅黑" w:hAnsi="微软雅黑" w:eastAsia="微软雅黑"/>
          <w:sz w:val="30"/>
          <w:szCs w:val="30"/>
          <w:highlight w:val="none"/>
        </w:rPr>
      </w:pPr>
    </w:p>
    <w:p w14:paraId="05B6F9B0">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D4D9BFE">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本项目其他采购人的业绩资料（如合同或发票等）。</w:t>
      </w:r>
    </w:p>
    <w:p w14:paraId="4ACD48E7">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0B342572">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w:t>
      </w:r>
    </w:p>
    <w:p w14:paraId="5F9D816F">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投标服务相关资料</w:t>
      </w:r>
    </w:p>
    <w:p w14:paraId="7B2E5811">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22F2D406">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配套</w:t>
      </w:r>
      <w:r>
        <w:rPr>
          <w:rFonts w:hint="eastAsia" w:ascii="方正仿宋_GBK" w:hAnsi="方正仿宋_GBK" w:eastAsia="方正仿宋_GBK" w:cs="方正仿宋_GBK"/>
          <w:b/>
          <w:bCs/>
          <w:sz w:val="32"/>
          <w:szCs w:val="32"/>
          <w:highlight w:val="none"/>
        </w:rPr>
        <w:t>服务承诺</w:t>
      </w:r>
    </w:p>
    <w:p w14:paraId="20721E0A">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lang w:val="en-US" w:eastAsia="zh-CN"/>
        </w:rPr>
        <w:t>配套</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4C26E8B4">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网点</w:t>
      </w:r>
      <w:r>
        <w:rPr>
          <w:rFonts w:hint="eastAsia" w:ascii="微软雅黑" w:hAnsi="微软雅黑" w:eastAsia="微软雅黑" w:cs="___WRD_EMBED_SUB_53"/>
          <w:sz w:val="30"/>
          <w:szCs w:val="30"/>
          <w:highlight w:val="none"/>
        </w:rPr>
        <w:t>、响应时</w:t>
      </w:r>
      <w:r>
        <w:rPr>
          <w:rFonts w:hint="eastAsia" w:ascii="微软雅黑" w:hAnsi="微软雅黑" w:eastAsia="微软雅黑" w:cs="宋体"/>
          <w:sz w:val="30"/>
          <w:szCs w:val="30"/>
          <w:highlight w:val="none"/>
        </w:rPr>
        <w:t>间</w:t>
      </w:r>
      <w:r>
        <w:rPr>
          <w:rFonts w:hint="eastAsia" w:ascii="微软雅黑" w:hAnsi="微软雅黑" w:eastAsia="微软雅黑" w:cs="宋体"/>
          <w:sz w:val="30"/>
          <w:szCs w:val="30"/>
          <w:highlight w:val="none"/>
          <w:lang w:eastAsia="zh-CN"/>
        </w:rPr>
        <w:t>、保密要求、数据溯源</w:t>
      </w:r>
      <w:r>
        <w:rPr>
          <w:rFonts w:hint="eastAsia" w:ascii="微软雅黑" w:hAnsi="微软雅黑" w:eastAsia="微软雅黑" w:cs="___WRD_EMBED_SUB_53"/>
          <w:sz w:val="30"/>
          <w:szCs w:val="30"/>
          <w:highlight w:val="none"/>
        </w:rPr>
        <w:t>等）</w:t>
      </w:r>
    </w:p>
    <w:p w14:paraId="0EECF930">
      <w:pPr>
        <w:rPr>
          <w:rFonts w:hint="eastAsia" w:ascii="仿宋_GB2312" w:eastAsia="仿宋_GB2312" w:cs="宋体"/>
          <w:color w:val="auto"/>
          <w:sz w:val="32"/>
          <w:szCs w:val="32"/>
          <w:highlight w:val="none"/>
          <w:lang w:val="en-US" w:eastAsia="zh-CN"/>
        </w:rPr>
      </w:pPr>
    </w:p>
    <w:p w14:paraId="7ECFAA6F">
      <w:pPr>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br w:type="page"/>
      </w:r>
    </w:p>
    <w:p w14:paraId="64D4D3B3">
      <w:pPr>
        <w:pStyle w:val="5"/>
        <w:jc w:val="both"/>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宋体" w:eastAsia="仿宋_GB2312" w:cs="宋体"/>
          <w:kern w:val="2"/>
          <w:sz w:val="32"/>
          <w:szCs w:val="32"/>
          <w:highlight w:val="none"/>
          <w:lang w:val="en-US" w:eastAsia="zh-CN" w:bidi="ar-SA"/>
        </w:rPr>
        <w:t>项目服务方案（应具体到</w:t>
      </w:r>
      <w:r>
        <w:rPr>
          <w:rFonts w:hint="eastAsia" w:ascii="仿宋_GB2312" w:eastAsia="仿宋_GB2312" w:cs="宋体"/>
          <w:kern w:val="2"/>
          <w:sz w:val="32"/>
          <w:szCs w:val="32"/>
          <w:highlight w:val="none"/>
          <w:lang w:val="en-US" w:eastAsia="zh-CN" w:bidi="ar-SA"/>
        </w:rPr>
        <w:t>样</w:t>
      </w:r>
      <w:r>
        <w:rPr>
          <w:rFonts w:hint="eastAsia" w:ascii="仿宋_GB2312" w:hAnsi="宋体" w:eastAsia="仿宋_GB2312" w:cs="宋体"/>
          <w:kern w:val="2"/>
          <w:sz w:val="32"/>
          <w:szCs w:val="32"/>
          <w:highlight w:val="none"/>
          <w:lang w:val="en-US" w:eastAsia="zh-CN" w:bidi="ar-SA"/>
        </w:rPr>
        <w:t>本接收运输管理、检测进度计划、项目阶段性沟通、人员设备安排、保密措施等）</w:t>
      </w:r>
    </w:p>
    <w:p w14:paraId="24D85696">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6571CE8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0BC49FC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6A6D1D0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205F74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2A26143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000C135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47F9C95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163BB7F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35375C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5D77DBD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77C4091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7234F1F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55C03B0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590F733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FBFB02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B996F78">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127C2C96">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3C43D937">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275BC50E">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4F909946">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39B09101">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49EE06E7">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E35BA"/>
    <w:multiLevelType w:val="singleLevel"/>
    <w:tmpl w:val="B25E35BA"/>
    <w:lvl w:ilvl="0" w:tentative="0">
      <w:start w:val="2"/>
      <w:numFmt w:val="decimal"/>
      <w:lvlText w:val="%1."/>
      <w:lvlJc w:val="left"/>
      <w:pPr>
        <w:tabs>
          <w:tab w:val="left" w:pos="312"/>
        </w:tabs>
      </w:pPr>
    </w:lvl>
  </w:abstractNum>
  <w:abstractNum w:abstractNumId="1">
    <w:nsid w:val="16796E28"/>
    <w:multiLevelType w:val="singleLevel"/>
    <w:tmpl w:val="16796E28"/>
    <w:lvl w:ilvl="0" w:tentative="0">
      <w:start w:val="2"/>
      <w:numFmt w:val="chineseCounting"/>
      <w:suff w:val="nothing"/>
      <w:lvlText w:val="%1、"/>
      <w:lvlJc w:val="left"/>
      <w:rPr>
        <w:rFonts w:hint="eastAsia"/>
      </w:r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593E016B"/>
    <w:multiLevelType w:val="singleLevel"/>
    <w:tmpl w:val="593E016B"/>
    <w:lvl w:ilvl="0" w:tentative="0">
      <w:start w:val="1"/>
      <w:numFmt w:val="chineseCounting"/>
      <w:suff w:val="nothing"/>
      <w:lvlText w:val="%1、"/>
      <w:lvlJc w:val="left"/>
      <w:rPr>
        <w:rFonts w:hint="eastAsia"/>
      </w:rPr>
    </w:lvl>
  </w:abstractNum>
  <w:abstractNum w:abstractNumId="4">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5024C4"/>
    <w:rsid w:val="015B6D6E"/>
    <w:rsid w:val="02E501FA"/>
    <w:rsid w:val="03CE68FB"/>
    <w:rsid w:val="041961A8"/>
    <w:rsid w:val="04C70F47"/>
    <w:rsid w:val="056E5276"/>
    <w:rsid w:val="06FB539B"/>
    <w:rsid w:val="074B78AB"/>
    <w:rsid w:val="07F82B6D"/>
    <w:rsid w:val="09604328"/>
    <w:rsid w:val="0A86348F"/>
    <w:rsid w:val="0BCE4B39"/>
    <w:rsid w:val="0C872834"/>
    <w:rsid w:val="0C974041"/>
    <w:rsid w:val="0CB1115F"/>
    <w:rsid w:val="0CE64C8D"/>
    <w:rsid w:val="0D5C636E"/>
    <w:rsid w:val="0D913B3D"/>
    <w:rsid w:val="0E440BB0"/>
    <w:rsid w:val="0E6637FD"/>
    <w:rsid w:val="0E6753E5"/>
    <w:rsid w:val="0E9F1F75"/>
    <w:rsid w:val="0F3D73C4"/>
    <w:rsid w:val="0FAB7A71"/>
    <w:rsid w:val="0FD01451"/>
    <w:rsid w:val="10945E1E"/>
    <w:rsid w:val="109A11ED"/>
    <w:rsid w:val="11594F0F"/>
    <w:rsid w:val="122D0B62"/>
    <w:rsid w:val="133D5E0A"/>
    <w:rsid w:val="17772668"/>
    <w:rsid w:val="1922346A"/>
    <w:rsid w:val="19375EE1"/>
    <w:rsid w:val="19FC6B1C"/>
    <w:rsid w:val="1A1C7FE3"/>
    <w:rsid w:val="1AAE2C67"/>
    <w:rsid w:val="1AF86BE0"/>
    <w:rsid w:val="1B3306B6"/>
    <w:rsid w:val="1BDE0896"/>
    <w:rsid w:val="1CF00EFC"/>
    <w:rsid w:val="1E552F6B"/>
    <w:rsid w:val="1F245DB4"/>
    <w:rsid w:val="1F2F00AB"/>
    <w:rsid w:val="20746E51"/>
    <w:rsid w:val="21426D4A"/>
    <w:rsid w:val="22240453"/>
    <w:rsid w:val="229A0B71"/>
    <w:rsid w:val="22F03C5B"/>
    <w:rsid w:val="236757CC"/>
    <w:rsid w:val="23FB11F4"/>
    <w:rsid w:val="24D32F62"/>
    <w:rsid w:val="26541E80"/>
    <w:rsid w:val="26EB3E67"/>
    <w:rsid w:val="28687E65"/>
    <w:rsid w:val="29AE2A56"/>
    <w:rsid w:val="29F1586C"/>
    <w:rsid w:val="29FA37EC"/>
    <w:rsid w:val="2A402D6D"/>
    <w:rsid w:val="2C3529EE"/>
    <w:rsid w:val="2C7E2617"/>
    <w:rsid w:val="2CC37769"/>
    <w:rsid w:val="2F2F3117"/>
    <w:rsid w:val="2FC44243"/>
    <w:rsid w:val="31092EA8"/>
    <w:rsid w:val="32214672"/>
    <w:rsid w:val="33FB61AD"/>
    <w:rsid w:val="342C6BC9"/>
    <w:rsid w:val="35761799"/>
    <w:rsid w:val="357C2FC3"/>
    <w:rsid w:val="36432BB5"/>
    <w:rsid w:val="376E6279"/>
    <w:rsid w:val="38A14340"/>
    <w:rsid w:val="396A2364"/>
    <w:rsid w:val="3A2C5456"/>
    <w:rsid w:val="3A8A6AFB"/>
    <w:rsid w:val="3B5B7766"/>
    <w:rsid w:val="3D8263F7"/>
    <w:rsid w:val="3E9F6BB4"/>
    <w:rsid w:val="40611EDD"/>
    <w:rsid w:val="41B900E2"/>
    <w:rsid w:val="439873F8"/>
    <w:rsid w:val="442069E9"/>
    <w:rsid w:val="44C5770F"/>
    <w:rsid w:val="44EF71C4"/>
    <w:rsid w:val="45170BAD"/>
    <w:rsid w:val="45EF05E5"/>
    <w:rsid w:val="471277E6"/>
    <w:rsid w:val="473F7C96"/>
    <w:rsid w:val="475D7492"/>
    <w:rsid w:val="482D6FF9"/>
    <w:rsid w:val="49470D20"/>
    <w:rsid w:val="496140CE"/>
    <w:rsid w:val="4AA416B0"/>
    <w:rsid w:val="4AE139DB"/>
    <w:rsid w:val="4B782C5C"/>
    <w:rsid w:val="4BDB0A24"/>
    <w:rsid w:val="4C31315D"/>
    <w:rsid w:val="4E3B1140"/>
    <w:rsid w:val="4F6D75ED"/>
    <w:rsid w:val="50F964C5"/>
    <w:rsid w:val="51352B6B"/>
    <w:rsid w:val="51736DAF"/>
    <w:rsid w:val="53A17F68"/>
    <w:rsid w:val="53DB6C22"/>
    <w:rsid w:val="55085A60"/>
    <w:rsid w:val="55956EC5"/>
    <w:rsid w:val="575D29E7"/>
    <w:rsid w:val="57744314"/>
    <w:rsid w:val="597436C4"/>
    <w:rsid w:val="59A815C0"/>
    <w:rsid w:val="5BB04553"/>
    <w:rsid w:val="5BD41136"/>
    <w:rsid w:val="5DBD061A"/>
    <w:rsid w:val="5E932E93"/>
    <w:rsid w:val="5FA4498B"/>
    <w:rsid w:val="61130716"/>
    <w:rsid w:val="61143219"/>
    <w:rsid w:val="6138591F"/>
    <w:rsid w:val="61707CCC"/>
    <w:rsid w:val="61A6052D"/>
    <w:rsid w:val="626B6216"/>
    <w:rsid w:val="637666C3"/>
    <w:rsid w:val="63814C5E"/>
    <w:rsid w:val="643E385E"/>
    <w:rsid w:val="649966D5"/>
    <w:rsid w:val="64B2548C"/>
    <w:rsid w:val="67CF5844"/>
    <w:rsid w:val="69D01878"/>
    <w:rsid w:val="6A1F4430"/>
    <w:rsid w:val="6B247663"/>
    <w:rsid w:val="6BAB20AE"/>
    <w:rsid w:val="6D1A412B"/>
    <w:rsid w:val="6D1F523E"/>
    <w:rsid w:val="6D204144"/>
    <w:rsid w:val="6D38732A"/>
    <w:rsid w:val="6DD05A39"/>
    <w:rsid w:val="6EC6360F"/>
    <w:rsid w:val="6F3E2352"/>
    <w:rsid w:val="6F9A2F0D"/>
    <w:rsid w:val="6FB940CF"/>
    <w:rsid w:val="70237F96"/>
    <w:rsid w:val="713118C3"/>
    <w:rsid w:val="71C02C3F"/>
    <w:rsid w:val="72BB5C94"/>
    <w:rsid w:val="732B3BA9"/>
    <w:rsid w:val="73C21B9F"/>
    <w:rsid w:val="74D3615F"/>
    <w:rsid w:val="75E0445A"/>
    <w:rsid w:val="77991C4E"/>
    <w:rsid w:val="77FA34D6"/>
    <w:rsid w:val="78024143"/>
    <w:rsid w:val="798264FA"/>
    <w:rsid w:val="799B64FC"/>
    <w:rsid w:val="7AF0174A"/>
    <w:rsid w:val="7BDE27F0"/>
    <w:rsid w:val="7C6F2CF1"/>
    <w:rsid w:val="7C765833"/>
    <w:rsid w:val="7CA67789"/>
    <w:rsid w:val="7E192908"/>
    <w:rsid w:val="7EE67CE4"/>
    <w:rsid w:val="7FA70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toc 2"/>
    <w:basedOn w:val="1"/>
    <w:next w:val="1"/>
    <w:qFormat/>
    <w:uiPriority w:val="0"/>
    <w:pPr>
      <w:ind w:left="420" w:leftChars="200"/>
    </w:p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5"/>
    <w:next w:val="13"/>
    <w:qFormat/>
    <w:uiPriority w:val="0"/>
    <w:pPr>
      <w:spacing w:line="360" w:lineRule="auto"/>
      <w:ind w:firstLine="420"/>
    </w:pPr>
    <w:rPr>
      <w:rFonts w:ascii="宋体" w:hAnsi="宋体"/>
      <w:sz w:val="24"/>
    </w:rPr>
  </w:style>
  <w:style w:type="paragraph" w:styleId="13">
    <w:name w:val="Body Text First Indent 2"/>
    <w:basedOn w:val="6"/>
    <w:qFormat/>
    <w:uiPriority w:val="0"/>
    <w:pPr>
      <w:spacing w:after="120" w:afterLines="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annotation reference"/>
    <w:qFormat/>
    <w:uiPriority w:val="0"/>
    <w:rPr>
      <w:sz w:val="21"/>
    </w:rPr>
  </w:style>
  <w:style w:type="paragraph" w:customStyle="1" w:styleId="19">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2">
    <w:name w:val="font91"/>
    <w:basedOn w:val="16"/>
    <w:qFormat/>
    <w:uiPriority w:val="0"/>
    <w:rPr>
      <w:rFonts w:ascii="楷体" w:hAnsi="楷体" w:eastAsia="楷体" w:cs="楷体"/>
      <w:color w:val="000000"/>
      <w:sz w:val="22"/>
      <w:szCs w:val="22"/>
      <w:u w:val="none"/>
      <w:vertAlign w:val="superscript"/>
    </w:rPr>
  </w:style>
  <w:style w:type="character" w:customStyle="1" w:styleId="23">
    <w:name w:val="font21"/>
    <w:basedOn w:val="16"/>
    <w:qFormat/>
    <w:uiPriority w:val="0"/>
    <w:rPr>
      <w:rFonts w:hint="eastAsia" w:ascii="仿宋" w:hAnsi="仿宋" w:eastAsia="仿宋" w:cs="仿宋"/>
      <w:b/>
      <w:bCs/>
      <w:color w:val="000000"/>
      <w:sz w:val="24"/>
      <w:szCs w:val="24"/>
      <w:u w:val="none"/>
    </w:rPr>
  </w:style>
  <w:style w:type="paragraph" w:customStyle="1" w:styleId="24">
    <w:name w:val="BodyText"/>
    <w:basedOn w:val="1"/>
    <w:next w:val="25"/>
    <w:qFormat/>
    <w:uiPriority w:val="0"/>
    <w:pPr>
      <w:jc w:val="both"/>
      <w:textAlignment w:val="baseline"/>
    </w:pPr>
    <w:rPr>
      <w:rFonts w:ascii="仿宋_GB2312" w:eastAsia="仿宋_GB2312"/>
      <w:kern w:val="2"/>
      <w:sz w:val="32"/>
      <w:lang w:val="en-US" w:eastAsia="zh-CN" w:bidi="ar-SA"/>
    </w:rPr>
  </w:style>
  <w:style w:type="paragraph" w:customStyle="1" w:styleId="25">
    <w:name w:val="BodyTextIndent"/>
    <w:basedOn w:val="1"/>
    <w:qFormat/>
    <w:uiPriority w:val="0"/>
    <w:pPr>
      <w:spacing w:line="700" w:lineRule="exact"/>
      <w:ind w:left="960"/>
      <w:jc w:val="both"/>
      <w:textAlignment w:val="baseline"/>
    </w:pPr>
    <w:rPr>
      <w:kern w:val="2"/>
      <w:sz w:val="44"/>
      <w:lang w:val="en-US" w:eastAsia="zh-CN" w:bidi="ar-SA"/>
    </w:rPr>
  </w:style>
  <w:style w:type="paragraph" w:styleId="26">
    <w:name w:val="List Paragraph"/>
    <w:basedOn w:val="1"/>
    <w:qFormat/>
    <w:uiPriority w:val="34"/>
    <w:pPr>
      <w:ind w:firstLine="420" w:firstLineChars="200"/>
    </w:pPr>
  </w:style>
  <w:style w:type="paragraph" w:customStyle="1" w:styleId="27">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8">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6126</Words>
  <Characters>6454</Characters>
  <Lines>0</Lines>
  <Paragraphs>0</Paragraphs>
  <TotalTime>1</TotalTime>
  <ScaleCrop>false</ScaleCrop>
  <LinksUpToDate>false</LinksUpToDate>
  <CharactersWithSpaces>7039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周信宇</cp:lastModifiedBy>
  <cp:lastPrinted>2024-01-02T09:12:00Z</cp:lastPrinted>
  <dcterms:modified xsi:type="dcterms:W3CDTF">2025-10-09T01:17:46Z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CE9D5840DD0C42DBA7277E0172C8442B_13</vt:lpwstr>
  </property>
  <property fmtid="{D5CDD505-2E9C-101B-9397-08002B2CF9AE}" pid="4" name="KSOTemplateDocerSaveRecord">
    <vt:lpwstr>eyJoZGlkIjoiYWY0Zjg5MWFjZTg2YmJlZGM0NmU4ZjI4ODhmZjJlNzAiLCJ1c2VySWQiOiIxNjAyMzk0Njk2In0=</vt:lpwstr>
  </property>
</Properties>
</file>